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83" w:rsidRDefault="005C3F83">
      <w:pPr>
        <w:spacing w:line="500" w:lineRule="exact"/>
        <w:jc w:val="center"/>
        <w:rPr>
          <w:b/>
          <w:sz w:val="36"/>
          <w:szCs w:val="36"/>
        </w:rPr>
      </w:pPr>
    </w:p>
    <w:p w:rsidR="00B21655" w:rsidRDefault="00B21655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寿阳县</w:t>
      </w:r>
      <w:r>
        <w:rPr>
          <w:rFonts w:hint="eastAsia"/>
          <w:b/>
          <w:sz w:val="36"/>
          <w:szCs w:val="36"/>
        </w:rPr>
        <w:t>201</w:t>
      </w:r>
      <w:r w:rsidR="00254B8D"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年国民经济和社会发展统计公报</w:t>
      </w:r>
    </w:p>
    <w:p w:rsidR="002B1714" w:rsidRDefault="002B1714">
      <w:pPr>
        <w:spacing w:line="500" w:lineRule="exact"/>
        <w:jc w:val="center"/>
        <w:rPr>
          <w:sz w:val="30"/>
          <w:szCs w:val="30"/>
        </w:rPr>
      </w:pPr>
    </w:p>
    <w:p w:rsidR="00B21655" w:rsidRDefault="00B21655"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(20</w:t>
      </w:r>
      <w:r w:rsidR="00254B8D"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 w:rsidR="00E810BD"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 w:rsidR="00E810BD"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)</w:t>
      </w:r>
    </w:p>
    <w:p w:rsidR="00B21655" w:rsidRDefault="00B21655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寿阳县统计局</w:t>
      </w:r>
      <w:bookmarkStart w:id="0" w:name="_GoBack"/>
      <w:bookmarkEnd w:id="0"/>
    </w:p>
    <w:p w:rsidR="00B21655" w:rsidRDefault="00B21655">
      <w:pPr>
        <w:spacing w:line="500" w:lineRule="exact"/>
        <w:jc w:val="center"/>
        <w:rPr>
          <w:b/>
          <w:sz w:val="28"/>
          <w:szCs w:val="28"/>
        </w:rPr>
      </w:pPr>
    </w:p>
    <w:p w:rsidR="00254B8D" w:rsidRPr="00254B8D" w:rsidRDefault="00254B8D" w:rsidP="00055920">
      <w:pPr>
        <w:spacing w:beforeLines="100" w:before="312" w:afterLines="100" w:after="312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B8D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254B8D">
        <w:rPr>
          <w:rFonts w:asciiTheme="minorEastAsia" w:eastAsiaTheme="minorEastAsia" w:hAnsiTheme="minorEastAsia"/>
          <w:sz w:val="28"/>
          <w:szCs w:val="28"/>
        </w:rPr>
        <w:t>019</w:t>
      </w:r>
      <w:r w:rsidRPr="00254B8D">
        <w:rPr>
          <w:rFonts w:asciiTheme="minorEastAsia" w:eastAsiaTheme="minorEastAsia" w:hAnsiTheme="minorEastAsia" w:hint="eastAsia"/>
          <w:sz w:val="28"/>
          <w:szCs w:val="28"/>
        </w:rPr>
        <w:t>年，全县干部群众在县委的带领下，以习近平新时代中国特色社会主义思想为指导，忠实贯彻党中央和省委、市委决策部署，坚持稳中求进工作总基调，牢牢把握五大发展理念，在不忘初心、牢记使命中攻坚克难、矢志前行，全县经济运行继续保持总体平稳的发展态势。</w:t>
      </w:r>
    </w:p>
    <w:p w:rsidR="00B21655" w:rsidRDefault="00B21655" w:rsidP="007E5715">
      <w:pPr>
        <w:spacing w:beforeLines="100" w:before="312" w:afterLines="100" w:after="312" w:line="500" w:lineRule="exact"/>
        <w:ind w:firstLineChars="200" w:firstLine="602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一、综 合</w:t>
      </w:r>
    </w:p>
    <w:p w:rsidR="007E5715" w:rsidRDefault="007E5715" w:rsidP="007E5715">
      <w:pPr>
        <w:spacing w:beforeLines="50" w:before="156" w:line="500" w:lineRule="exact"/>
        <w:ind w:firstLineChars="200" w:firstLine="560"/>
        <w:rPr>
          <w:rFonts w:ascii="华文新魏" w:eastAsia="华文新魏" w:hAnsi="宋体" w:cs="宋体"/>
          <w:kern w:val="0"/>
          <w:sz w:val="28"/>
          <w:szCs w:val="28"/>
        </w:rPr>
      </w:pPr>
      <w:r w:rsidRPr="007E5715">
        <w:rPr>
          <w:rFonts w:ascii="宋体" w:hAnsi="宋体" w:cs="宋体"/>
          <w:kern w:val="0"/>
          <w:sz w:val="28"/>
          <w:szCs w:val="28"/>
        </w:rPr>
        <w:t>据</w:t>
      </w:r>
      <w:r w:rsidRPr="007E5715">
        <w:rPr>
          <w:rFonts w:ascii="宋体" w:hAnsi="宋体" w:cs="宋体" w:hint="eastAsia"/>
          <w:kern w:val="0"/>
          <w:sz w:val="28"/>
          <w:szCs w:val="28"/>
        </w:rPr>
        <w:t>2</w:t>
      </w:r>
      <w:r w:rsidRPr="007E5715">
        <w:rPr>
          <w:rFonts w:ascii="宋体" w:hAnsi="宋体" w:cs="宋体"/>
          <w:kern w:val="0"/>
          <w:sz w:val="28"/>
          <w:szCs w:val="28"/>
        </w:rPr>
        <w:t>019年</w:t>
      </w:r>
      <w:r>
        <w:rPr>
          <w:rFonts w:ascii="宋体" w:hAnsi="宋体" w:cs="宋体" w:hint="eastAsia"/>
          <w:kern w:val="0"/>
          <w:sz w:val="28"/>
          <w:szCs w:val="28"/>
        </w:rPr>
        <w:t>人口抽样调查，年末全县常住人口为</w:t>
      </w:r>
      <w:r>
        <w:rPr>
          <w:rFonts w:ascii="宋体" w:hAnsi="宋体" w:cs="宋体"/>
          <w:kern w:val="0"/>
          <w:sz w:val="28"/>
          <w:szCs w:val="28"/>
        </w:rPr>
        <w:t>213840</w:t>
      </w:r>
      <w:r>
        <w:rPr>
          <w:rFonts w:ascii="宋体" w:hAnsi="宋体" w:cs="宋体" w:hint="eastAsia"/>
          <w:kern w:val="0"/>
          <w:sz w:val="28"/>
          <w:szCs w:val="28"/>
        </w:rPr>
        <w:t>人，比上年末减少9</w:t>
      </w:r>
      <w:r>
        <w:rPr>
          <w:rFonts w:ascii="宋体" w:hAnsi="宋体" w:cs="宋体"/>
          <w:kern w:val="0"/>
          <w:sz w:val="28"/>
          <w:szCs w:val="28"/>
        </w:rPr>
        <w:t>05</w:t>
      </w:r>
      <w:r>
        <w:rPr>
          <w:rFonts w:ascii="宋体" w:hAnsi="宋体" w:cs="宋体" w:hint="eastAsia"/>
          <w:kern w:val="0"/>
          <w:sz w:val="28"/>
          <w:szCs w:val="28"/>
        </w:rPr>
        <w:t>人，其中城镇人口</w:t>
      </w:r>
      <w:r>
        <w:rPr>
          <w:rFonts w:ascii="宋体" w:hAnsi="宋体" w:cs="宋体"/>
          <w:kern w:val="0"/>
          <w:sz w:val="28"/>
          <w:szCs w:val="28"/>
        </w:rPr>
        <w:t>93747</w:t>
      </w:r>
      <w:r>
        <w:rPr>
          <w:rFonts w:ascii="宋体" w:hAnsi="宋体" w:cs="宋体" w:hint="eastAsia"/>
          <w:kern w:val="0"/>
          <w:sz w:val="28"/>
          <w:szCs w:val="28"/>
        </w:rPr>
        <w:t>人，占总人口比重为</w:t>
      </w:r>
      <w:r>
        <w:rPr>
          <w:rFonts w:ascii="宋体" w:hAnsi="宋体" w:cs="宋体"/>
          <w:kern w:val="0"/>
          <w:sz w:val="28"/>
          <w:szCs w:val="28"/>
        </w:rPr>
        <w:t>43.84</w:t>
      </w:r>
      <w:r>
        <w:rPr>
          <w:rFonts w:ascii="宋体" w:hAnsi="宋体" w:cs="宋体" w:hint="eastAsia"/>
          <w:kern w:val="0"/>
          <w:sz w:val="28"/>
          <w:szCs w:val="28"/>
        </w:rPr>
        <w:t>%，比上年末提高</w:t>
      </w:r>
      <w:r>
        <w:rPr>
          <w:rFonts w:ascii="宋体" w:hAnsi="宋体" w:cs="宋体"/>
          <w:kern w:val="0"/>
          <w:sz w:val="28"/>
          <w:szCs w:val="28"/>
        </w:rPr>
        <w:t>1.57</w:t>
      </w:r>
      <w:r>
        <w:rPr>
          <w:rFonts w:ascii="宋体" w:hAnsi="宋体" w:cs="宋体" w:hint="eastAsia"/>
          <w:kern w:val="0"/>
          <w:sz w:val="28"/>
          <w:szCs w:val="28"/>
        </w:rPr>
        <w:t>个百分点。全年全县出生人口</w:t>
      </w:r>
      <w:r>
        <w:rPr>
          <w:rFonts w:ascii="宋体" w:hAnsi="宋体" w:cs="宋体"/>
          <w:kern w:val="0"/>
          <w:sz w:val="28"/>
          <w:szCs w:val="28"/>
        </w:rPr>
        <w:t>1932</w:t>
      </w:r>
      <w:r>
        <w:rPr>
          <w:rFonts w:ascii="宋体" w:hAnsi="宋体" w:cs="宋体" w:hint="eastAsia"/>
          <w:kern w:val="0"/>
          <w:sz w:val="28"/>
          <w:szCs w:val="28"/>
        </w:rPr>
        <w:t>人，出生率为</w:t>
      </w:r>
      <w:r>
        <w:rPr>
          <w:rFonts w:ascii="宋体" w:hAnsi="宋体" w:cs="宋体"/>
          <w:kern w:val="0"/>
          <w:sz w:val="28"/>
          <w:szCs w:val="28"/>
        </w:rPr>
        <w:t>9.02</w:t>
      </w:r>
      <w:r>
        <w:rPr>
          <w:rFonts w:ascii="华文新魏" w:eastAsia="华文新魏" w:hAnsi="宋体" w:cs="宋体" w:hint="eastAsia"/>
          <w:kern w:val="0"/>
          <w:sz w:val="28"/>
          <w:szCs w:val="28"/>
        </w:rPr>
        <w:t>‰</w:t>
      </w:r>
      <w:r>
        <w:rPr>
          <w:rFonts w:ascii="宋体" w:hAnsi="宋体" w:cs="宋体" w:hint="eastAsia"/>
          <w:kern w:val="0"/>
          <w:sz w:val="28"/>
          <w:szCs w:val="28"/>
        </w:rPr>
        <w:t>；死亡人口</w:t>
      </w:r>
      <w:r>
        <w:rPr>
          <w:rFonts w:ascii="宋体" w:hAnsi="宋体" w:cs="宋体"/>
          <w:kern w:val="0"/>
          <w:sz w:val="28"/>
          <w:szCs w:val="28"/>
        </w:rPr>
        <w:t>2837</w:t>
      </w:r>
      <w:r>
        <w:rPr>
          <w:rFonts w:ascii="宋体" w:hAnsi="宋体" w:cs="宋体" w:hint="eastAsia"/>
          <w:kern w:val="0"/>
          <w:sz w:val="28"/>
          <w:szCs w:val="28"/>
        </w:rPr>
        <w:t>人，死亡率为</w:t>
      </w:r>
      <w:r>
        <w:rPr>
          <w:rFonts w:ascii="宋体" w:hAnsi="宋体" w:cs="宋体"/>
          <w:kern w:val="0"/>
          <w:sz w:val="28"/>
          <w:szCs w:val="28"/>
        </w:rPr>
        <w:t>13.24</w:t>
      </w:r>
      <w:r>
        <w:rPr>
          <w:rFonts w:ascii="华文新魏" w:eastAsia="华文新魏" w:hAnsi="宋体" w:cs="宋体" w:hint="eastAsia"/>
          <w:kern w:val="0"/>
          <w:sz w:val="28"/>
          <w:szCs w:val="28"/>
        </w:rPr>
        <w:t>‰；</w:t>
      </w:r>
      <w:r>
        <w:rPr>
          <w:rFonts w:ascii="宋体" w:hAnsi="宋体" w:cs="宋体" w:hint="eastAsia"/>
          <w:kern w:val="0"/>
          <w:sz w:val="28"/>
          <w:szCs w:val="28"/>
        </w:rPr>
        <w:t>自然增长率为</w:t>
      </w:r>
      <w:r>
        <w:rPr>
          <w:rFonts w:ascii="宋体" w:hAnsi="宋体" w:cs="宋体"/>
          <w:kern w:val="0"/>
          <w:sz w:val="28"/>
          <w:szCs w:val="28"/>
        </w:rPr>
        <w:t>-4.22</w:t>
      </w:r>
      <w:r>
        <w:rPr>
          <w:rFonts w:ascii="华文新魏" w:eastAsia="华文新魏" w:hAnsi="宋体" w:cs="宋体" w:hint="eastAsia"/>
          <w:kern w:val="0"/>
          <w:sz w:val="28"/>
          <w:szCs w:val="28"/>
        </w:rPr>
        <w:t>‰。</w:t>
      </w:r>
    </w:p>
    <w:p w:rsidR="00D312B1" w:rsidRPr="00E860A2" w:rsidRDefault="00D312B1" w:rsidP="00D312B1">
      <w:pPr>
        <w:spacing w:beforeLines="50" w:before="156" w:line="500" w:lineRule="exact"/>
        <w:ind w:firstLineChars="600" w:firstLine="1687"/>
        <w:rPr>
          <w:rFonts w:ascii="仿宋" w:eastAsia="仿宋" w:hAnsi="仿宋" w:cs="宋体"/>
          <w:b/>
          <w:kern w:val="0"/>
          <w:sz w:val="28"/>
          <w:szCs w:val="28"/>
        </w:rPr>
      </w:pPr>
      <w:r w:rsidRPr="00E860A2">
        <w:rPr>
          <w:rFonts w:ascii="仿宋" w:eastAsia="仿宋" w:hAnsi="仿宋" w:cs="宋体"/>
          <w:b/>
          <w:kern w:val="0"/>
          <w:sz w:val="28"/>
          <w:szCs w:val="28"/>
        </w:rPr>
        <w:t>表</w:t>
      </w:r>
      <w:r w:rsidRPr="00E860A2">
        <w:rPr>
          <w:rFonts w:ascii="仿宋" w:eastAsia="仿宋" w:hAnsi="仿宋" w:cs="宋体" w:hint="eastAsia"/>
          <w:b/>
          <w:kern w:val="0"/>
          <w:sz w:val="28"/>
          <w:szCs w:val="28"/>
        </w:rPr>
        <w:t>1</w:t>
      </w:r>
      <w:r w:rsidRPr="00E860A2">
        <w:rPr>
          <w:rFonts w:ascii="仿宋" w:eastAsia="仿宋" w:hAnsi="仿宋" w:cs="宋体"/>
          <w:b/>
          <w:kern w:val="0"/>
          <w:sz w:val="28"/>
          <w:szCs w:val="28"/>
        </w:rPr>
        <w:t xml:space="preserve">  2019年年末人口</w:t>
      </w:r>
      <w:proofErr w:type="gramStart"/>
      <w:r w:rsidRPr="00E860A2">
        <w:rPr>
          <w:rFonts w:ascii="仿宋" w:eastAsia="仿宋" w:hAnsi="仿宋" w:cs="宋体"/>
          <w:b/>
          <w:kern w:val="0"/>
          <w:sz w:val="28"/>
          <w:szCs w:val="28"/>
        </w:rPr>
        <w:t>数及其</w:t>
      </w:r>
      <w:proofErr w:type="gramEnd"/>
      <w:r w:rsidRPr="00E860A2">
        <w:rPr>
          <w:rFonts w:ascii="仿宋" w:eastAsia="仿宋" w:hAnsi="仿宋" w:cs="宋体"/>
          <w:b/>
          <w:kern w:val="0"/>
          <w:sz w:val="28"/>
          <w:szCs w:val="28"/>
        </w:rPr>
        <w:t>构成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E5715" w:rsidRPr="00E860A2" w:rsidTr="00E860A2">
        <w:trPr>
          <w:trHeight w:hRule="exact" w:val="770"/>
        </w:trPr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</w:tcPr>
          <w:p w:rsidR="007E5715" w:rsidRPr="00E860A2" w:rsidRDefault="007E5715" w:rsidP="007E5715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/>
                <w:kern w:val="0"/>
                <w:sz w:val="24"/>
              </w:rPr>
              <w:t>指标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15" w:rsidRPr="00E860A2" w:rsidRDefault="007E5715" w:rsidP="007E5715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/>
                <w:kern w:val="0"/>
                <w:sz w:val="24"/>
              </w:rPr>
              <w:t>年末数（人）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7E5715" w:rsidRPr="00E860A2" w:rsidRDefault="007E5715" w:rsidP="007E5715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/>
                <w:kern w:val="0"/>
                <w:sz w:val="24"/>
              </w:rPr>
              <w:t>比重（</w:t>
            </w: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%）</w:t>
            </w:r>
          </w:p>
        </w:tc>
      </w:tr>
      <w:tr w:rsidR="007E5715" w:rsidRPr="00E860A2" w:rsidTr="00E860A2">
        <w:trPr>
          <w:trHeight w:hRule="exact" w:val="567"/>
        </w:trPr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7E5715" w:rsidRPr="00E860A2" w:rsidRDefault="007E5715" w:rsidP="007E5715">
            <w:pPr>
              <w:spacing w:beforeLines="50" w:before="156" w:line="5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/>
                <w:kern w:val="0"/>
                <w:sz w:val="24"/>
              </w:rPr>
              <w:t>全县常住人口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13840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</w:tcPr>
          <w:p w:rsidR="007E5715" w:rsidRPr="00E860A2" w:rsidRDefault="007E5715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5715" w:rsidRPr="00E860A2" w:rsidTr="00E860A2">
        <w:trPr>
          <w:trHeight w:hRule="exact" w:val="567"/>
        </w:trPr>
        <w:tc>
          <w:tcPr>
            <w:tcW w:w="2765" w:type="dxa"/>
            <w:tcBorders>
              <w:right w:val="single" w:sz="4" w:space="0" w:color="auto"/>
            </w:tcBorders>
          </w:tcPr>
          <w:p w:rsidR="007E5715" w:rsidRPr="00E860A2" w:rsidRDefault="007E5715" w:rsidP="007E5715">
            <w:pPr>
              <w:spacing w:beforeLines="50" w:before="156" w:line="50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/>
                <w:kern w:val="0"/>
                <w:sz w:val="24"/>
              </w:rPr>
              <w:t>其中：城镇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3747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3.84</w:t>
            </w:r>
          </w:p>
        </w:tc>
      </w:tr>
      <w:tr w:rsidR="007E5715" w:rsidRPr="00E860A2" w:rsidTr="00E860A2">
        <w:trPr>
          <w:trHeight w:hRule="exact" w:val="567"/>
        </w:trPr>
        <w:tc>
          <w:tcPr>
            <w:tcW w:w="2765" w:type="dxa"/>
            <w:tcBorders>
              <w:right w:val="single" w:sz="4" w:space="0" w:color="auto"/>
            </w:tcBorders>
          </w:tcPr>
          <w:p w:rsidR="007E5715" w:rsidRPr="00E860A2" w:rsidRDefault="007E5715" w:rsidP="007E5715">
            <w:pPr>
              <w:spacing w:beforeLines="50" w:before="156" w:line="5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 xml:space="preserve">       乡村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20093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6.16</w:t>
            </w:r>
          </w:p>
        </w:tc>
      </w:tr>
      <w:tr w:rsidR="007E5715" w:rsidRPr="00E860A2" w:rsidTr="00E860A2">
        <w:trPr>
          <w:trHeight w:hRule="exact" w:val="567"/>
        </w:trPr>
        <w:tc>
          <w:tcPr>
            <w:tcW w:w="2765" w:type="dxa"/>
            <w:tcBorders>
              <w:righ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/>
                <w:kern w:val="0"/>
                <w:sz w:val="24"/>
              </w:rPr>
              <w:t>其中：男性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14487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3.54</w:t>
            </w:r>
          </w:p>
        </w:tc>
      </w:tr>
      <w:tr w:rsidR="007E5715" w:rsidRPr="00E860A2" w:rsidTr="00E860A2">
        <w:trPr>
          <w:trHeight w:hRule="exact" w:val="690"/>
        </w:trPr>
        <w:tc>
          <w:tcPr>
            <w:tcW w:w="2765" w:type="dxa"/>
            <w:tcBorders>
              <w:righ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ind w:firstLineChars="400" w:firstLine="960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/>
                <w:kern w:val="0"/>
                <w:sz w:val="24"/>
              </w:rPr>
              <w:t>女性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9353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7E5715" w:rsidRPr="00E860A2" w:rsidRDefault="00D312B1" w:rsidP="00D312B1">
            <w:pPr>
              <w:spacing w:beforeLines="50" w:before="156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860A2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E860A2">
              <w:rPr>
                <w:rFonts w:ascii="仿宋" w:eastAsia="仿宋" w:hAnsi="仿宋" w:cs="宋体"/>
                <w:kern w:val="0"/>
                <w:sz w:val="24"/>
              </w:rPr>
              <w:t>6.46</w:t>
            </w:r>
          </w:p>
        </w:tc>
      </w:tr>
    </w:tbl>
    <w:p w:rsidR="00B21655" w:rsidRDefault="00B21655" w:rsidP="007E5715">
      <w:pPr>
        <w:spacing w:beforeLines="50" w:before="156"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初步核算，全年</w:t>
      </w:r>
      <w:r w:rsidR="00BD6E0D">
        <w:rPr>
          <w:rFonts w:hint="eastAsia"/>
          <w:sz w:val="28"/>
          <w:szCs w:val="28"/>
        </w:rPr>
        <w:t>实现</w:t>
      </w:r>
      <w:r>
        <w:rPr>
          <w:rFonts w:hint="eastAsia"/>
          <w:sz w:val="28"/>
          <w:szCs w:val="28"/>
        </w:rPr>
        <w:t>地区生产总值</w:t>
      </w:r>
      <w:r w:rsidR="00254B8D">
        <w:rPr>
          <w:rFonts w:cs="仿宋"/>
          <w:sz w:val="32"/>
          <w:szCs w:val="32"/>
        </w:rPr>
        <w:t>125.</w:t>
      </w:r>
      <w:r w:rsidR="00BD6E0D">
        <w:rPr>
          <w:rFonts w:cs="仿宋"/>
          <w:sz w:val="32"/>
          <w:szCs w:val="32"/>
        </w:rPr>
        <w:t>23</w:t>
      </w:r>
      <w:r>
        <w:rPr>
          <w:rFonts w:hint="eastAsia"/>
          <w:sz w:val="28"/>
          <w:szCs w:val="28"/>
        </w:rPr>
        <w:t>亿元，按</w:t>
      </w:r>
      <w:r w:rsidR="00BD6E0D">
        <w:rPr>
          <w:rFonts w:hint="eastAsia"/>
          <w:sz w:val="28"/>
          <w:szCs w:val="28"/>
        </w:rPr>
        <w:t>不变</w:t>
      </w:r>
      <w:r>
        <w:rPr>
          <w:rFonts w:hint="eastAsia"/>
          <w:sz w:val="28"/>
          <w:szCs w:val="28"/>
        </w:rPr>
        <w:t>价格计算，比上年增长</w:t>
      </w:r>
      <w:r w:rsidR="00254B8D">
        <w:rPr>
          <w:sz w:val="28"/>
          <w:szCs w:val="28"/>
        </w:rPr>
        <w:t>4.1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。</w:t>
      </w:r>
      <w:r w:rsidR="00BD6E0D"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，第一产业增加值</w:t>
      </w:r>
      <w:r w:rsidR="00254B8D">
        <w:rPr>
          <w:sz w:val="28"/>
          <w:szCs w:val="28"/>
        </w:rPr>
        <w:t>12.7</w:t>
      </w:r>
      <w:r>
        <w:rPr>
          <w:rFonts w:hint="eastAsia"/>
          <w:sz w:val="28"/>
          <w:szCs w:val="28"/>
        </w:rPr>
        <w:t>亿元，</w:t>
      </w:r>
      <w:r w:rsidR="00254B8D">
        <w:rPr>
          <w:rFonts w:hint="eastAsia"/>
          <w:sz w:val="28"/>
          <w:szCs w:val="28"/>
        </w:rPr>
        <w:t>下降</w:t>
      </w:r>
      <w:r w:rsidR="00254B8D">
        <w:rPr>
          <w:rFonts w:hint="eastAsia"/>
          <w:sz w:val="28"/>
          <w:szCs w:val="28"/>
        </w:rPr>
        <w:t>6</w:t>
      </w:r>
      <w:r w:rsidR="00BD6E0D">
        <w:rPr>
          <w:sz w:val="28"/>
          <w:szCs w:val="28"/>
        </w:rPr>
        <w:t>.0</w:t>
      </w:r>
      <w:r>
        <w:rPr>
          <w:rFonts w:hint="eastAsia"/>
          <w:sz w:val="28"/>
          <w:szCs w:val="28"/>
        </w:rPr>
        <w:t>%</w:t>
      </w:r>
      <w:r w:rsidR="00BD6E0D">
        <w:rPr>
          <w:rFonts w:hint="eastAsia"/>
          <w:sz w:val="28"/>
          <w:szCs w:val="28"/>
        </w:rPr>
        <w:t>，占地区生产总值的比重</w:t>
      </w:r>
      <w:r w:rsidR="00BD6E0D">
        <w:rPr>
          <w:rFonts w:hint="eastAsia"/>
          <w:sz w:val="28"/>
          <w:szCs w:val="28"/>
        </w:rPr>
        <w:t>1</w:t>
      </w:r>
      <w:r w:rsidR="00BD6E0D">
        <w:rPr>
          <w:sz w:val="28"/>
          <w:szCs w:val="28"/>
        </w:rPr>
        <w:t>0.2%</w:t>
      </w:r>
      <w:r>
        <w:rPr>
          <w:rFonts w:hint="eastAsia"/>
          <w:sz w:val="28"/>
          <w:szCs w:val="28"/>
        </w:rPr>
        <w:t>；第二产业增加值</w:t>
      </w:r>
      <w:r w:rsidR="00254B8D">
        <w:rPr>
          <w:sz w:val="28"/>
          <w:szCs w:val="28"/>
        </w:rPr>
        <w:t>70.1</w:t>
      </w:r>
      <w:r>
        <w:rPr>
          <w:rFonts w:hint="eastAsia"/>
          <w:sz w:val="28"/>
          <w:szCs w:val="28"/>
        </w:rPr>
        <w:t>亿元，增长</w:t>
      </w:r>
      <w:r w:rsidR="00254B8D">
        <w:rPr>
          <w:sz w:val="28"/>
          <w:szCs w:val="28"/>
        </w:rPr>
        <w:t>4.2</w:t>
      </w:r>
      <w:r>
        <w:rPr>
          <w:rFonts w:hint="eastAsia"/>
          <w:sz w:val="28"/>
          <w:szCs w:val="28"/>
        </w:rPr>
        <w:t>%</w:t>
      </w:r>
      <w:r w:rsidR="00BD6E0D">
        <w:rPr>
          <w:rFonts w:hint="eastAsia"/>
          <w:sz w:val="28"/>
          <w:szCs w:val="28"/>
        </w:rPr>
        <w:t>，占地区生产总值的比重</w:t>
      </w:r>
      <w:r w:rsidR="00BD6E0D">
        <w:rPr>
          <w:sz w:val="28"/>
          <w:szCs w:val="28"/>
        </w:rPr>
        <w:t>56.0%</w:t>
      </w:r>
      <w:r>
        <w:rPr>
          <w:rFonts w:hint="eastAsia"/>
          <w:sz w:val="28"/>
          <w:szCs w:val="28"/>
        </w:rPr>
        <w:t>；第三产业增加值</w:t>
      </w:r>
      <w:r w:rsidR="00254B8D">
        <w:rPr>
          <w:sz w:val="28"/>
          <w:szCs w:val="28"/>
        </w:rPr>
        <w:t>42.4</w:t>
      </w:r>
      <w:r>
        <w:rPr>
          <w:rFonts w:hint="eastAsia"/>
          <w:sz w:val="28"/>
          <w:szCs w:val="28"/>
        </w:rPr>
        <w:t>亿元，增长</w:t>
      </w:r>
      <w:r w:rsidR="00336A32">
        <w:rPr>
          <w:rFonts w:hint="eastAsia"/>
          <w:sz w:val="28"/>
          <w:szCs w:val="28"/>
        </w:rPr>
        <w:t>7.</w:t>
      </w:r>
      <w:r w:rsidR="00254B8D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%</w:t>
      </w:r>
      <w:r w:rsidR="00BD6E0D">
        <w:rPr>
          <w:rFonts w:hint="eastAsia"/>
          <w:sz w:val="28"/>
          <w:szCs w:val="28"/>
        </w:rPr>
        <w:t>，占地区生产总值的比重</w:t>
      </w:r>
      <w:r w:rsidR="00BD6E0D">
        <w:rPr>
          <w:sz w:val="28"/>
          <w:szCs w:val="28"/>
        </w:rPr>
        <w:t>33.8%</w:t>
      </w:r>
      <w:r>
        <w:rPr>
          <w:rFonts w:hint="eastAsia"/>
          <w:sz w:val="28"/>
          <w:szCs w:val="28"/>
        </w:rPr>
        <w:t>。</w:t>
      </w:r>
    </w:p>
    <w:p w:rsidR="00B21655" w:rsidRPr="0068140E" w:rsidRDefault="00B21655" w:rsidP="002B1714">
      <w:pPr>
        <w:spacing w:line="500" w:lineRule="exact"/>
        <w:ind w:firstLine="573"/>
        <w:rPr>
          <w:sz w:val="28"/>
          <w:szCs w:val="28"/>
        </w:rPr>
      </w:pPr>
      <w:r w:rsidRPr="0068140E">
        <w:rPr>
          <w:rFonts w:hint="eastAsia"/>
          <w:sz w:val="28"/>
          <w:szCs w:val="28"/>
        </w:rPr>
        <w:t>人均地区生产总值</w:t>
      </w:r>
      <w:r w:rsidR="00E729A3">
        <w:rPr>
          <w:sz w:val="28"/>
          <w:szCs w:val="28"/>
        </w:rPr>
        <w:t>584</w:t>
      </w:r>
      <w:r w:rsidR="00B03BEC">
        <w:rPr>
          <w:sz w:val="28"/>
          <w:szCs w:val="28"/>
        </w:rPr>
        <w:t>64</w:t>
      </w:r>
      <w:r w:rsidRPr="0068140E">
        <w:rPr>
          <w:rFonts w:hint="eastAsia"/>
          <w:sz w:val="28"/>
          <w:szCs w:val="28"/>
        </w:rPr>
        <w:t>元，按</w:t>
      </w:r>
      <w:r w:rsidRPr="0068140E">
        <w:rPr>
          <w:rFonts w:hint="eastAsia"/>
          <w:sz w:val="28"/>
          <w:szCs w:val="28"/>
        </w:rPr>
        <w:t>201</w:t>
      </w:r>
      <w:r w:rsidR="00E729A3">
        <w:rPr>
          <w:sz w:val="28"/>
          <w:szCs w:val="28"/>
        </w:rPr>
        <w:t>9</w:t>
      </w:r>
      <w:r w:rsidRPr="0068140E">
        <w:rPr>
          <w:rFonts w:hint="eastAsia"/>
          <w:sz w:val="28"/>
          <w:szCs w:val="28"/>
        </w:rPr>
        <w:t>年平均汇率计算</w:t>
      </w:r>
      <w:r w:rsidR="00BD6E0D">
        <w:rPr>
          <w:rFonts w:hint="eastAsia"/>
          <w:sz w:val="28"/>
          <w:szCs w:val="28"/>
        </w:rPr>
        <w:t>为</w:t>
      </w:r>
      <w:r w:rsidR="00E729A3">
        <w:rPr>
          <w:sz w:val="28"/>
          <w:szCs w:val="28"/>
        </w:rPr>
        <w:t>84</w:t>
      </w:r>
      <w:r w:rsidR="007B23C2">
        <w:rPr>
          <w:sz w:val="28"/>
          <w:szCs w:val="28"/>
        </w:rPr>
        <w:t>3</w:t>
      </w:r>
      <w:r w:rsidR="00B03BEC">
        <w:rPr>
          <w:sz w:val="28"/>
          <w:szCs w:val="28"/>
        </w:rPr>
        <w:t>8</w:t>
      </w:r>
      <w:r w:rsidRPr="0068140E">
        <w:rPr>
          <w:rFonts w:hint="eastAsia"/>
          <w:sz w:val="28"/>
          <w:szCs w:val="28"/>
        </w:rPr>
        <w:t>美元。</w:t>
      </w:r>
    </w:p>
    <w:p w:rsidR="00B21655" w:rsidRDefault="00B21655">
      <w:pPr>
        <w:widowControl/>
        <w:spacing w:line="500" w:lineRule="exact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图1  20</w:t>
      </w:r>
      <w:r w:rsidR="00A86122">
        <w:rPr>
          <w:rFonts w:ascii="黑体" w:eastAsia="黑体" w:hAnsi="宋体" w:cs="宋体" w:hint="eastAsia"/>
          <w:kern w:val="0"/>
          <w:sz w:val="24"/>
        </w:rPr>
        <w:t>1</w:t>
      </w:r>
      <w:r w:rsidR="00E729A3">
        <w:rPr>
          <w:rFonts w:ascii="黑体" w:eastAsia="黑体" w:hAnsi="宋体" w:cs="宋体"/>
          <w:kern w:val="0"/>
          <w:sz w:val="24"/>
        </w:rPr>
        <w:t>5</w:t>
      </w:r>
      <w:r>
        <w:rPr>
          <w:rFonts w:ascii="黑体" w:eastAsia="黑体" w:hAnsi="宋体" w:cs="宋体" w:hint="eastAsia"/>
          <w:kern w:val="0"/>
          <w:sz w:val="24"/>
        </w:rPr>
        <w:t>年—201</w:t>
      </w:r>
      <w:r w:rsidR="00E729A3">
        <w:rPr>
          <w:rFonts w:ascii="黑体" w:eastAsia="黑体" w:hAnsi="宋体" w:cs="宋体"/>
          <w:kern w:val="0"/>
          <w:sz w:val="24"/>
        </w:rPr>
        <w:t>9</w:t>
      </w:r>
      <w:r>
        <w:rPr>
          <w:rFonts w:ascii="黑体" w:eastAsia="黑体" w:hAnsi="宋体" w:cs="宋体" w:hint="eastAsia"/>
          <w:kern w:val="0"/>
          <w:sz w:val="24"/>
        </w:rPr>
        <w:t>年全县地区生产总值及其增长速度</w:t>
      </w:r>
    </w:p>
    <w:p w:rsidR="00B21655" w:rsidRDefault="00F2505B">
      <w:pPr>
        <w:spacing w:line="560" w:lineRule="atLeast"/>
        <w:jc w:val="center"/>
        <w:rPr>
          <w:sz w:val="28"/>
          <w:szCs w:val="28"/>
        </w:rPr>
      </w:pPr>
      <w:r w:rsidRPr="00A86122">
        <w:rPr>
          <w:noProof/>
          <w:sz w:val="28"/>
          <w:szCs w:val="28"/>
        </w:rPr>
        <w:drawing>
          <wp:inline distT="0" distB="0" distL="0" distR="0">
            <wp:extent cx="5153025" cy="1838325"/>
            <wp:effectExtent l="0" t="0" r="0" b="0"/>
            <wp:docPr id="1" name="对象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3FA4" w:rsidRDefault="000E3FA4" w:rsidP="00F75B44">
      <w:pPr>
        <w:widowControl/>
        <w:spacing w:line="500" w:lineRule="exact"/>
        <w:ind w:firstLine="53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全年全县一般公共预算收入完成</w:t>
      </w:r>
      <w:r>
        <w:rPr>
          <w:rFonts w:ascii="宋体" w:hAnsi="宋体" w:cs="宋体"/>
          <w:color w:val="000000"/>
          <w:kern w:val="0"/>
          <w:sz w:val="28"/>
          <w:szCs w:val="28"/>
        </w:rPr>
        <w:t>12.72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亿元，增长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11.6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  <w:r>
        <w:rPr>
          <w:rFonts w:ascii="宋体" w:hAnsi="宋体" w:cs="宋体" w:hint="eastAsia"/>
          <w:kern w:val="0"/>
          <w:sz w:val="28"/>
          <w:szCs w:val="28"/>
        </w:rPr>
        <w:t>其中，税收收入</w:t>
      </w:r>
      <w:r>
        <w:rPr>
          <w:rFonts w:ascii="宋体" w:hAnsi="宋体" w:cs="宋体"/>
          <w:kern w:val="0"/>
          <w:sz w:val="28"/>
          <w:szCs w:val="28"/>
        </w:rPr>
        <w:t>8.4</w:t>
      </w:r>
      <w:r>
        <w:rPr>
          <w:rFonts w:ascii="宋体" w:hAnsi="宋体" w:cs="宋体" w:hint="eastAsia"/>
          <w:kern w:val="0"/>
          <w:sz w:val="28"/>
          <w:szCs w:val="28"/>
        </w:rPr>
        <w:t>亿元，下降0</w:t>
      </w:r>
      <w:r>
        <w:rPr>
          <w:rFonts w:ascii="宋体" w:hAnsi="宋体" w:cs="宋体"/>
          <w:kern w:val="0"/>
          <w:sz w:val="28"/>
          <w:szCs w:val="28"/>
        </w:rPr>
        <w:t>.7</w:t>
      </w:r>
      <w:r>
        <w:rPr>
          <w:rFonts w:ascii="宋体" w:hAnsi="宋体" w:cs="宋体" w:hint="eastAsia"/>
          <w:kern w:val="0"/>
          <w:sz w:val="28"/>
          <w:szCs w:val="28"/>
        </w:rPr>
        <w:t>%。</w:t>
      </w:r>
    </w:p>
    <w:p w:rsidR="000E3FA4" w:rsidRDefault="000E3FA4" w:rsidP="00F75B44">
      <w:pPr>
        <w:widowControl/>
        <w:spacing w:line="500" w:lineRule="exact"/>
        <w:ind w:firstLine="53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全年全县一般</w:t>
      </w:r>
      <w:r>
        <w:rPr>
          <w:rFonts w:ascii="宋体" w:hAnsi="宋体" w:cs="宋体" w:hint="eastAsia"/>
          <w:kern w:val="0"/>
          <w:sz w:val="28"/>
          <w:szCs w:val="28"/>
        </w:rPr>
        <w:t>公共预算支出</w:t>
      </w:r>
      <w:r>
        <w:rPr>
          <w:rFonts w:ascii="宋体" w:hAnsi="宋体" w:cs="宋体"/>
          <w:kern w:val="0"/>
          <w:sz w:val="28"/>
          <w:szCs w:val="28"/>
        </w:rPr>
        <w:t>24.03</w:t>
      </w:r>
      <w:r>
        <w:rPr>
          <w:rFonts w:ascii="宋体" w:hAnsi="宋体" w:cs="宋体" w:hint="eastAsia"/>
          <w:kern w:val="0"/>
          <w:sz w:val="28"/>
          <w:szCs w:val="28"/>
        </w:rPr>
        <w:t>亿元，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20.5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%。其中，教育、卫生健康、社会保障和就业、住房保障、交通运输、节能环保、城乡社区等民生支出1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3.88亿元，增长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6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.8%。</w:t>
      </w:r>
    </w:p>
    <w:p w:rsidR="000E3FA4" w:rsidRDefault="000E3FA4" w:rsidP="000E3FA4">
      <w:pPr>
        <w:widowControl/>
        <w:spacing w:line="400" w:lineRule="exact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4155433" wp14:editId="314C05E4">
            <wp:simplePos x="0" y="0"/>
            <wp:positionH relativeFrom="column">
              <wp:posOffset>228600</wp:posOffset>
            </wp:positionH>
            <wp:positionV relativeFrom="paragraph">
              <wp:posOffset>339725</wp:posOffset>
            </wp:positionV>
            <wp:extent cx="5201285" cy="2418715"/>
            <wp:effectExtent l="0" t="0" r="0" b="0"/>
            <wp:wrapTopAndBottom/>
            <wp:docPr id="4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宋体" w:cs="宋体" w:hint="eastAsia"/>
          <w:kern w:val="0"/>
          <w:sz w:val="24"/>
        </w:rPr>
        <w:t>图</w:t>
      </w:r>
      <w:r w:rsidR="00687A9F">
        <w:rPr>
          <w:rFonts w:ascii="黑体" w:eastAsia="黑体" w:hAnsi="宋体" w:cs="宋体"/>
          <w:kern w:val="0"/>
          <w:sz w:val="24"/>
        </w:rPr>
        <w:t>2</w:t>
      </w:r>
      <w:r>
        <w:rPr>
          <w:rFonts w:ascii="黑体" w:eastAsia="黑体" w:hAnsi="宋体" w:cs="宋体" w:hint="eastAsia"/>
          <w:kern w:val="0"/>
          <w:sz w:val="24"/>
        </w:rPr>
        <w:t xml:space="preserve">  201</w:t>
      </w:r>
      <w:r>
        <w:rPr>
          <w:rFonts w:ascii="黑体" w:eastAsia="黑体" w:hAnsi="宋体" w:cs="宋体"/>
          <w:kern w:val="0"/>
          <w:sz w:val="24"/>
        </w:rPr>
        <w:t>5</w:t>
      </w:r>
      <w:r>
        <w:rPr>
          <w:rFonts w:ascii="黑体" w:eastAsia="黑体" w:hAnsi="宋体" w:cs="宋体" w:hint="eastAsia"/>
          <w:kern w:val="0"/>
          <w:sz w:val="24"/>
        </w:rPr>
        <w:t>年—201</w:t>
      </w:r>
      <w:r>
        <w:rPr>
          <w:rFonts w:ascii="黑体" w:eastAsia="黑体" w:hAnsi="宋体" w:cs="宋体"/>
          <w:kern w:val="0"/>
          <w:sz w:val="24"/>
        </w:rPr>
        <w:t>9</w:t>
      </w:r>
      <w:r>
        <w:rPr>
          <w:rFonts w:ascii="黑体" w:eastAsia="黑体" w:hAnsi="宋体" w:cs="宋体" w:hint="eastAsia"/>
          <w:kern w:val="0"/>
          <w:sz w:val="24"/>
        </w:rPr>
        <w:t>年公共财政预算收入情况</w:t>
      </w:r>
    </w:p>
    <w:p w:rsidR="000B3ADA" w:rsidRDefault="000B3ADA" w:rsidP="00E860A2">
      <w:pPr>
        <w:spacing w:line="460" w:lineRule="exact"/>
        <w:ind w:firstLine="573"/>
        <w:rPr>
          <w:sz w:val="28"/>
          <w:szCs w:val="28"/>
        </w:rPr>
      </w:pPr>
    </w:p>
    <w:p w:rsidR="00B21655" w:rsidRPr="009A3F95" w:rsidRDefault="00705553" w:rsidP="00F75B44">
      <w:pPr>
        <w:spacing w:line="500" w:lineRule="exact"/>
        <w:ind w:firstLine="573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全年全县</w:t>
      </w:r>
      <w:r w:rsidR="00B21655" w:rsidRPr="009A3F95">
        <w:rPr>
          <w:rFonts w:hint="eastAsia"/>
          <w:sz w:val="28"/>
          <w:szCs w:val="28"/>
        </w:rPr>
        <w:t>城镇新增就业人员</w:t>
      </w:r>
      <w:r w:rsidR="009A3F95">
        <w:rPr>
          <w:sz w:val="28"/>
          <w:szCs w:val="28"/>
        </w:rPr>
        <w:t>4412</w:t>
      </w:r>
      <w:r w:rsidR="00B21655" w:rsidRPr="009A3F95">
        <w:rPr>
          <w:rFonts w:hint="eastAsia"/>
          <w:sz w:val="28"/>
          <w:szCs w:val="28"/>
        </w:rPr>
        <w:t>人。下岗再就业人数达到</w:t>
      </w:r>
      <w:r w:rsidR="009A3F95">
        <w:rPr>
          <w:sz w:val="28"/>
          <w:szCs w:val="28"/>
        </w:rPr>
        <w:t>591</w:t>
      </w:r>
      <w:r w:rsidR="00B21655" w:rsidRPr="009A3F95">
        <w:rPr>
          <w:rFonts w:hint="eastAsia"/>
          <w:sz w:val="28"/>
          <w:szCs w:val="28"/>
        </w:rPr>
        <w:t>人，其中就业困难对象再就业人数</w:t>
      </w:r>
      <w:r w:rsidR="009A3F95">
        <w:rPr>
          <w:sz w:val="28"/>
          <w:szCs w:val="28"/>
        </w:rPr>
        <w:t>148</w:t>
      </w:r>
      <w:r w:rsidR="00B21655" w:rsidRPr="009A3F95">
        <w:rPr>
          <w:rFonts w:hint="eastAsia"/>
          <w:sz w:val="28"/>
          <w:szCs w:val="28"/>
        </w:rPr>
        <w:t>人。年末城镇登记的失业率</w:t>
      </w:r>
      <w:r w:rsidR="00D4269C" w:rsidRPr="009A3F95">
        <w:rPr>
          <w:sz w:val="28"/>
          <w:szCs w:val="28"/>
        </w:rPr>
        <w:t>2.</w:t>
      </w:r>
      <w:r w:rsidR="009A3F95">
        <w:rPr>
          <w:sz w:val="28"/>
          <w:szCs w:val="28"/>
        </w:rPr>
        <w:t>47</w:t>
      </w:r>
      <w:r w:rsidR="00B21655" w:rsidRPr="009A3F95">
        <w:rPr>
          <w:rFonts w:hint="eastAsia"/>
          <w:sz w:val="28"/>
          <w:szCs w:val="28"/>
        </w:rPr>
        <w:t>%</w:t>
      </w:r>
      <w:r w:rsidR="00B21655" w:rsidRPr="009A3F95">
        <w:rPr>
          <w:rFonts w:hint="eastAsia"/>
          <w:sz w:val="28"/>
          <w:szCs w:val="28"/>
        </w:rPr>
        <w:t>。</w:t>
      </w:r>
    </w:p>
    <w:p w:rsidR="00B21655" w:rsidRDefault="00B21655" w:rsidP="00F75B44">
      <w:pPr>
        <w:spacing w:line="50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二、农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业</w:t>
      </w:r>
    </w:p>
    <w:p w:rsidR="005330B8" w:rsidRDefault="005330B8" w:rsidP="00F75B44">
      <w:pPr>
        <w:widowControl/>
        <w:adjustRightInd w:val="0"/>
        <w:spacing w:line="5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全年全县农作物总播种面积为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54169.88公顷，比上年增加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 xml:space="preserve"> 3945.08公顷。其中粮食作物播种面积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49796.08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公顷，比上年增加4551.48公顷；蔬菜播种面积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4151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公顷，比上年减少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489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 xml:space="preserve">公顷。在粮食播种面积中，玉米播种面积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45158.76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公顷，比上年增加 4200.36公顷。果园面积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923.1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 xml:space="preserve">公顷，增加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56.4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公顷。</w:t>
      </w:r>
    </w:p>
    <w:p w:rsidR="005330B8" w:rsidRDefault="005330B8" w:rsidP="00F75B44">
      <w:pPr>
        <w:widowControl/>
        <w:adjustRightInd w:val="0"/>
        <w:spacing w:line="5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全年粮食总产量达到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34.27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万吨，比上年增加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1.27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万吨，增长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。其中，玉米产量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33.01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万吨，比上年增加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1.43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万吨，增长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4.5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p w:rsidR="005330B8" w:rsidRDefault="005330B8" w:rsidP="005330B8">
      <w:pPr>
        <w:widowControl/>
        <w:adjustRightInd w:val="0"/>
        <w:spacing w:before="100" w:after="100" w:line="500" w:lineRule="exact"/>
        <w:jc w:val="left"/>
        <w:rPr>
          <w:rFonts w:ascii="黑体" w:eastAsia="黑体" w:hAnsi="宋体" w:cs="宋体"/>
          <w:bCs/>
          <w:color w:val="000000"/>
          <w:kern w:val="0"/>
          <w:sz w:val="24"/>
          <w:lang w:val="zh-CN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4"/>
          <w:lang w:val="zh-CN"/>
        </w:rPr>
        <w:t xml:space="preserve"> </w:t>
      </w:r>
      <w:r>
        <w:rPr>
          <w:rFonts w:ascii="黑体" w:eastAsia="黑体" w:hAnsi="宋体" w:cs="宋体"/>
          <w:bCs/>
          <w:color w:val="000000"/>
          <w:kern w:val="0"/>
          <w:sz w:val="24"/>
          <w:lang w:val="zh-CN"/>
        </w:rPr>
        <w:t xml:space="preserve">           </w:t>
      </w:r>
      <w:r>
        <w:rPr>
          <w:rFonts w:ascii="黑体" w:eastAsia="黑体" w:hAnsi="宋体" w:cs="宋体" w:hint="eastAsia"/>
          <w:bCs/>
          <w:color w:val="000000"/>
          <w:kern w:val="0"/>
          <w:sz w:val="24"/>
          <w:lang w:val="zh-CN"/>
        </w:rPr>
        <w:t>表</w:t>
      </w:r>
      <w:r w:rsidR="000B3ADA">
        <w:rPr>
          <w:rFonts w:ascii="黑体" w:eastAsia="黑体" w:hAnsi="宋体" w:cs="宋体" w:hint="eastAsia"/>
          <w:bCs/>
          <w:color w:val="000000"/>
          <w:kern w:val="0"/>
          <w:sz w:val="24"/>
          <w:lang w:val="zh-CN"/>
        </w:rPr>
        <w:t>2</w:t>
      </w:r>
      <w:r>
        <w:rPr>
          <w:rFonts w:ascii="黑体" w:eastAsia="黑体" w:hAnsi="宋体" w:cs="宋体" w:hint="eastAsia"/>
          <w:bCs/>
          <w:color w:val="000000"/>
          <w:kern w:val="0"/>
          <w:sz w:val="24"/>
          <w:lang w:val="zh-CN"/>
        </w:rPr>
        <w:t xml:space="preserve">  201</w:t>
      </w:r>
      <w:r>
        <w:rPr>
          <w:rFonts w:ascii="黑体" w:eastAsia="黑体" w:hAnsi="宋体" w:cs="宋体"/>
          <w:bCs/>
          <w:color w:val="000000"/>
          <w:kern w:val="0"/>
          <w:sz w:val="24"/>
        </w:rPr>
        <w:t>9</w:t>
      </w:r>
      <w:r>
        <w:rPr>
          <w:rFonts w:ascii="黑体" w:eastAsia="黑体" w:hAnsi="宋体" w:cs="宋体" w:hint="eastAsia"/>
          <w:bCs/>
          <w:color w:val="000000"/>
          <w:kern w:val="0"/>
          <w:sz w:val="24"/>
          <w:lang w:val="zh-CN"/>
        </w:rPr>
        <w:t>年主要农产品产量及其增长速度</w:t>
      </w:r>
    </w:p>
    <w:p w:rsidR="005330B8" w:rsidRDefault="005330B8" w:rsidP="005330B8">
      <w:pPr>
        <w:widowControl/>
        <w:adjustRightInd w:val="0"/>
        <w:spacing w:line="500" w:lineRule="exact"/>
        <w:jc w:val="center"/>
        <w:rPr>
          <w:rFonts w:ascii="楷体_GB2312" w:eastAsia="楷体_GB2312" w:hAnsi="宋体" w:cs="宋体"/>
          <w:color w:val="000000"/>
          <w:kern w:val="0"/>
          <w:sz w:val="24"/>
          <w:lang w:val="zh-CN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4"/>
          <w:lang w:val="zh-CN"/>
        </w:rPr>
        <w:t xml:space="preserve">                                  </w:t>
      </w:r>
      <w:r>
        <w:rPr>
          <w:rFonts w:ascii="楷体_GB2312" w:eastAsia="楷体_GB2312" w:hAnsi="宋体" w:cs="宋体" w:hint="eastAsia"/>
          <w:color w:val="000000"/>
          <w:kern w:val="0"/>
          <w:sz w:val="24"/>
          <w:lang w:val="zh-CN"/>
        </w:rPr>
        <w:t>单位：吨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2044"/>
        <w:gridCol w:w="2279"/>
      </w:tblGrid>
      <w:tr w:rsidR="005330B8" w:rsidTr="00F75B44">
        <w:trPr>
          <w:trHeight w:val="989"/>
          <w:jc w:val="center"/>
        </w:trPr>
        <w:tc>
          <w:tcPr>
            <w:tcW w:w="17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产品名称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产   量</w:t>
            </w: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比上年增长（％）</w:t>
            </w:r>
          </w:p>
        </w:tc>
      </w:tr>
      <w:tr w:rsidR="005330B8" w:rsidTr="00F75B44">
        <w:trPr>
          <w:trHeight w:val="732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粮食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342674.1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3.86</w:t>
            </w:r>
          </w:p>
        </w:tc>
      </w:tr>
      <w:tr w:rsidR="005330B8" w:rsidTr="00F75B44">
        <w:trPr>
          <w:trHeight w:val="73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ind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玉米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330060.37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4.51</w:t>
            </w:r>
          </w:p>
        </w:tc>
      </w:tr>
      <w:tr w:rsidR="005330B8" w:rsidTr="00F75B44">
        <w:trPr>
          <w:trHeight w:val="73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ind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谷子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5672.39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-18.75</w:t>
            </w:r>
          </w:p>
        </w:tc>
      </w:tr>
      <w:tr w:rsidR="005330B8" w:rsidTr="00F75B44">
        <w:trPr>
          <w:trHeight w:val="73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ind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proofErr w:type="gramStart"/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高梁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63.34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-33.49</w:t>
            </w:r>
          </w:p>
        </w:tc>
      </w:tr>
      <w:tr w:rsidR="005330B8" w:rsidTr="00F75B44">
        <w:trPr>
          <w:trHeight w:val="73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ind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薯类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29701.9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7.23</w:t>
            </w:r>
          </w:p>
        </w:tc>
      </w:tr>
      <w:tr w:rsidR="005330B8" w:rsidTr="00F75B44">
        <w:trPr>
          <w:trHeight w:val="457"/>
          <w:jc w:val="center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蔬菜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386800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0B8" w:rsidRPr="00B03BEC" w:rsidRDefault="005330B8" w:rsidP="003C3692">
            <w:pPr>
              <w:widowControl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-10.53</w:t>
            </w:r>
          </w:p>
        </w:tc>
      </w:tr>
    </w:tbl>
    <w:p w:rsidR="000B3ADA" w:rsidRDefault="000B3ADA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</w:p>
    <w:p w:rsidR="000B3ADA" w:rsidRDefault="000B3ADA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</w:p>
    <w:p w:rsidR="00B21655" w:rsidRDefault="00B21655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lastRenderedPageBreak/>
        <w:t>图</w:t>
      </w:r>
      <w:r w:rsidR="000B3ADA">
        <w:rPr>
          <w:rFonts w:ascii="黑体" w:eastAsia="黑体" w:hAnsi="宋体" w:cs="宋体"/>
          <w:kern w:val="0"/>
          <w:sz w:val="24"/>
        </w:rPr>
        <w:t>3</w:t>
      </w:r>
      <w:r>
        <w:rPr>
          <w:rFonts w:ascii="黑体" w:eastAsia="黑体" w:hAnsi="宋体" w:cs="宋体" w:hint="eastAsia"/>
          <w:kern w:val="0"/>
          <w:sz w:val="24"/>
        </w:rPr>
        <w:t xml:space="preserve">  20</w:t>
      </w:r>
      <w:r w:rsidR="008D58CD">
        <w:rPr>
          <w:rFonts w:ascii="黑体" w:eastAsia="黑体" w:hAnsi="宋体" w:cs="宋体" w:hint="eastAsia"/>
          <w:kern w:val="0"/>
          <w:sz w:val="24"/>
        </w:rPr>
        <w:t>1</w:t>
      </w:r>
      <w:r w:rsidR="005330B8">
        <w:rPr>
          <w:rFonts w:ascii="黑体" w:eastAsia="黑体" w:hAnsi="宋体" w:cs="宋体"/>
          <w:kern w:val="0"/>
          <w:sz w:val="24"/>
        </w:rPr>
        <w:t>5</w:t>
      </w:r>
      <w:r>
        <w:rPr>
          <w:rFonts w:ascii="黑体" w:eastAsia="黑体" w:hAnsi="宋体" w:cs="宋体" w:hint="eastAsia"/>
          <w:kern w:val="0"/>
          <w:sz w:val="24"/>
        </w:rPr>
        <w:t>年—201</w:t>
      </w:r>
      <w:r w:rsidR="005330B8">
        <w:rPr>
          <w:rFonts w:ascii="黑体" w:eastAsia="黑体" w:hAnsi="宋体" w:cs="宋体"/>
          <w:kern w:val="0"/>
          <w:sz w:val="24"/>
        </w:rPr>
        <w:t>9</w:t>
      </w:r>
      <w:r>
        <w:rPr>
          <w:rFonts w:ascii="黑体" w:eastAsia="黑体" w:hAnsi="宋体" w:cs="宋体" w:hint="eastAsia"/>
          <w:kern w:val="0"/>
          <w:sz w:val="24"/>
        </w:rPr>
        <w:t>年粮食播种面积和产量</w:t>
      </w:r>
    </w:p>
    <w:p w:rsidR="00B21655" w:rsidRDefault="00F2505B">
      <w:pPr>
        <w:widowControl/>
        <w:tabs>
          <w:tab w:val="left" w:pos="1918"/>
        </w:tabs>
        <w:adjustRightInd w:val="0"/>
        <w:spacing w:before="100" w:after="100" w:line="360" w:lineRule="auto"/>
        <w:jc w:val="left"/>
        <w:rPr>
          <w:rFonts w:ascii="黑体" w:eastAsia="黑体" w:hAnsi="宋体" w:cs="宋体"/>
          <w:bCs/>
          <w:color w:val="000000"/>
          <w:kern w:val="0"/>
          <w:sz w:val="24"/>
          <w:lang w:val="zh-CN"/>
        </w:rPr>
      </w:pPr>
      <w:r w:rsidRPr="008D58CD">
        <w:rPr>
          <w:rFonts w:ascii="黑体" w:eastAsia="黑体" w:hAnsi="宋体" w:cs="宋体"/>
          <w:bCs/>
          <w:noProof/>
          <w:color w:val="000000"/>
          <w:kern w:val="0"/>
          <w:sz w:val="24"/>
        </w:rPr>
        <w:drawing>
          <wp:inline distT="0" distB="0" distL="0" distR="0">
            <wp:extent cx="5638800" cy="1638300"/>
            <wp:effectExtent l="0" t="0" r="0" b="0"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30B8" w:rsidRDefault="005330B8" w:rsidP="000B3ADA">
      <w:pPr>
        <w:widowControl/>
        <w:spacing w:line="500" w:lineRule="exact"/>
        <w:ind w:firstLineChars="200" w:firstLine="560"/>
        <w:jc w:val="left"/>
        <w:rPr>
          <w:rFonts w:ascii="楷体_GB2312" w:eastAsia="楷体_GB2312" w:hAnsi="Calibri"/>
          <w:sz w:val="28"/>
          <w:szCs w:val="28"/>
        </w:rPr>
      </w:pPr>
      <w:r>
        <w:rPr>
          <w:rFonts w:hint="eastAsia"/>
          <w:sz w:val="28"/>
          <w:szCs w:val="28"/>
        </w:rPr>
        <w:t>全年</w:t>
      </w:r>
      <w:r w:rsidR="000B3ADA">
        <w:rPr>
          <w:rFonts w:hint="eastAsia"/>
          <w:sz w:val="28"/>
          <w:szCs w:val="28"/>
        </w:rPr>
        <w:t>全县</w:t>
      </w:r>
      <w:r>
        <w:rPr>
          <w:rFonts w:hint="eastAsia"/>
          <w:sz w:val="28"/>
          <w:szCs w:val="28"/>
        </w:rPr>
        <w:t>完成造林</w:t>
      </w:r>
      <w:r>
        <w:rPr>
          <w:rFonts w:hint="eastAsia"/>
          <w:sz w:val="28"/>
          <w:szCs w:val="28"/>
        </w:rPr>
        <w:t xml:space="preserve"> 2267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公顷</w:t>
      </w:r>
      <w:r>
        <w:rPr>
          <w:rFonts w:hint="eastAsia"/>
          <w:sz w:val="28"/>
          <w:szCs w:val="28"/>
        </w:rPr>
        <w:t>。</w:t>
      </w:r>
    </w:p>
    <w:p w:rsidR="000B3ADA" w:rsidRDefault="005330B8" w:rsidP="000135EA">
      <w:pPr>
        <w:widowControl/>
        <w:adjustRightInd w:val="0"/>
        <w:spacing w:line="500" w:lineRule="exact"/>
        <w:ind w:leftChars="300" w:left="1470" w:hangingChars="300" w:hanging="8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全年全县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肉类总产量3407吨，增长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25.2%。其中，猪肉产量2323</w:t>
      </w:r>
    </w:p>
    <w:p w:rsidR="000135EA" w:rsidRDefault="005330B8" w:rsidP="000135EA">
      <w:pPr>
        <w:widowControl/>
        <w:adjustRightInd w:val="0"/>
        <w:spacing w:line="500" w:lineRule="exact"/>
        <w:ind w:left="840" w:hangingChars="300" w:hanging="8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吨，增长0.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8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%；牛肉产量176吨，增长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1.5%；羊肉产量482吨，增</w:t>
      </w:r>
    </w:p>
    <w:p w:rsidR="000135EA" w:rsidRDefault="005330B8" w:rsidP="000135EA">
      <w:pPr>
        <w:widowControl/>
        <w:adjustRightInd w:val="0"/>
        <w:spacing w:line="500" w:lineRule="exact"/>
        <w:ind w:left="840" w:hangingChars="300" w:hanging="8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长0.8%;禽肉产量393吨，增长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22.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%。禽蛋产量9281吨，增长17.0%；</w:t>
      </w:r>
    </w:p>
    <w:p w:rsidR="005330B8" w:rsidRDefault="005330B8" w:rsidP="000135EA">
      <w:pPr>
        <w:widowControl/>
        <w:adjustRightInd w:val="0"/>
        <w:spacing w:line="500" w:lineRule="exact"/>
        <w:ind w:left="840" w:hangingChars="300" w:hanging="8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奶类产量1354吨，增长13.1%。</w:t>
      </w:r>
    </w:p>
    <w:p w:rsidR="005330B8" w:rsidRDefault="000B3ADA" w:rsidP="000B3ADA">
      <w:pPr>
        <w:widowControl/>
        <w:adjustRightInd w:val="0"/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全年</w:t>
      </w:r>
      <w:r w:rsidR="005330B8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全县农业机械总动力25.38万千瓦，比上年增长7%。机耕面积 4.43万公顷，机播面积4.27万公顷， 机收面积2.98万公顷 。</w:t>
      </w:r>
    </w:p>
    <w:p w:rsidR="00B21655" w:rsidRDefault="00B21655" w:rsidP="005330B8">
      <w:pPr>
        <w:widowControl/>
        <w:adjustRightInd w:val="0"/>
        <w:spacing w:beforeLines="100" w:before="312" w:afterLines="100" w:after="312" w:line="500" w:lineRule="exact"/>
        <w:ind w:firstLineChars="200" w:firstLine="602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三、工 业</w:t>
      </w:r>
    </w:p>
    <w:p w:rsidR="00B21655" w:rsidRDefault="00B21655" w:rsidP="002B1714">
      <w:pPr>
        <w:widowControl/>
        <w:spacing w:line="500" w:lineRule="exact"/>
        <w:ind w:firstLineChars="196" w:firstLine="549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全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年</w:t>
      </w:r>
      <w:r w:rsidR="00AB3C69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全县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规模以上工业企业完成工业增加值比上年增长</w:t>
      </w:r>
      <w:r w:rsidR="005C3F83">
        <w:rPr>
          <w:rFonts w:ascii="宋体" w:hAnsi="宋体" w:cs="宋体"/>
          <w:color w:val="000000"/>
          <w:kern w:val="0"/>
          <w:sz w:val="28"/>
          <w:szCs w:val="28"/>
        </w:rPr>
        <w:t>1.1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  <w:r w:rsidR="007D1F8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其中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，煤炭</w:t>
      </w:r>
      <w:r w:rsidR="007D1F8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工业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增加值</w:t>
      </w:r>
      <w:r w:rsidR="0014793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</w:t>
      </w:r>
      <w:r w:rsidR="005C3F83">
        <w:rPr>
          <w:rFonts w:ascii="宋体" w:hAnsi="宋体" w:cs="宋体"/>
          <w:color w:val="000000"/>
          <w:kern w:val="0"/>
          <w:sz w:val="28"/>
          <w:szCs w:val="28"/>
          <w:lang w:val="zh-CN"/>
        </w:rPr>
        <w:t>1.1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%，非煤</w:t>
      </w:r>
      <w:r w:rsidR="007D1F8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工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业增加值</w:t>
      </w:r>
      <w:r w:rsidR="005C3F83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下降3</w:t>
      </w:r>
      <w:r w:rsidR="005C3F83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%。全年原煤产量</w:t>
      </w:r>
      <w:r w:rsidR="005C3F83">
        <w:rPr>
          <w:rFonts w:ascii="宋体" w:hAnsi="宋体" w:cs="宋体"/>
          <w:color w:val="000000"/>
          <w:kern w:val="0"/>
          <w:sz w:val="28"/>
          <w:szCs w:val="28"/>
        </w:rPr>
        <w:t>1841.9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万吨，比</w:t>
      </w:r>
      <w:r w:rsidR="003F5D3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上年</w:t>
      </w:r>
      <w:r w:rsidR="005C3F83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下降6</w:t>
      </w:r>
      <w:r w:rsidR="005C3F83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p w:rsidR="00B21655" w:rsidRDefault="00B21655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图</w:t>
      </w:r>
      <w:r w:rsidR="000B3ADA">
        <w:rPr>
          <w:rFonts w:ascii="黑体" w:eastAsia="黑体" w:hAnsi="宋体" w:cs="宋体"/>
          <w:kern w:val="0"/>
          <w:sz w:val="24"/>
        </w:rPr>
        <w:t>4</w:t>
      </w:r>
      <w:r>
        <w:rPr>
          <w:rFonts w:ascii="黑体" w:eastAsia="黑体" w:hAnsi="宋体" w:cs="宋体" w:hint="eastAsia"/>
          <w:kern w:val="0"/>
          <w:sz w:val="24"/>
        </w:rPr>
        <w:t xml:space="preserve">  20</w:t>
      </w:r>
      <w:r w:rsidR="00C67E8C">
        <w:rPr>
          <w:rFonts w:ascii="黑体" w:eastAsia="黑体" w:hAnsi="宋体" w:cs="宋体" w:hint="eastAsia"/>
          <w:kern w:val="0"/>
          <w:sz w:val="24"/>
        </w:rPr>
        <w:t>1</w:t>
      </w:r>
      <w:r w:rsidR="005C3F83">
        <w:rPr>
          <w:rFonts w:ascii="黑体" w:eastAsia="黑体" w:hAnsi="宋体" w:cs="宋体"/>
          <w:kern w:val="0"/>
          <w:sz w:val="24"/>
        </w:rPr>
        <w:t>5</w:t>
      </w:r>
      <w:r>
        <w:rPr>
          <w:rFonts w:ascii="黑体" w:eastAsia="黑体" w:hAnsi="宋体" w:cs="宋体" w:hint="eastAsia"/>
          <w:kern w:val="0"/>
          <w:sz w:val="24"/>
        </w:rPr>
        <w:t>年—201</w:t>
      </w:r>
      <w:r w:rsidR="005C3F83">
        <w:rPr>
          <w:rFonts w:ascii="黑体" w:eastAsia="黑体" w:hAnsi="宋体" w:cs="宋体"/>
          <w:kern w:val="0"/>
          <w:sz w:val="24"/>
        </w:rPr>
        <w:t>9</w:t>
      </w:r>
      <w:r>
        <w:rPr>
          <w:rFonts w:ascii="黑体" w:eastAsia="黑体" w:hAnsi="宋体" w:cs="宋体" w:hint="eastAsia"/>
          <w:kern w:val="0"/>
          <w:sz w:val="24"/>
        </w:rPr>
        <w:t>年规模以上工业增加值增长速度</w:t>
      </w:r>
    </w:p>
    <w:p w:rsidR="00B21655" w:rsidRPr="005D734F" w:rsidRDefault="005C3F83">
      <w:pPr>
        <w:widowControl/>
        <w:spacing w:line="360" w:lineRule="auto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5190490" cy="1647825"/>
            <wp:effectExtent l="0" t="0" r="0" b="0"/>
            <wp:wrapNone/>
            <wp:docPr id="8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655" w:rsidRDefault="00B21655">
      <w:pPr>
        <w:widowControl/>
        <w:spacing w:line="360" w:lineRule="auto"/>
        <w:jc w:val="center"/>
      </w:pPr>
    </w:p>
    <w:p w:rsidR="003F5D37" w:rsidRDefault="003F5D37">
      <w:pPr>
        <w:widowControl/>
        <w:spacing w:line="360" w:lineRule="auto"/>
        <w:jc w:val="center"/>
      </w:pPr>
    </w:p>
    <w:p w:rsidR="003F5D37" w:rsidRPr="00E022D8" w:rsidRDefault="003F5D37">
      <w:pPr>
        <w:widowControl/>
        <w:spacing w:line="360" w:lineRule="auto"/>
        <w:jc w:val="center"/>
      </w:pPr>
    </w:p>
    <w:p w:rsidR="003F5D37" w:rsidRDefault="003F5D37">
      <w:pPr>
        <w:widowControl/>
        <w:spacing w:line="360" w:lineRule="auto"/>
        <w:jc w:val="center"/>
      </w:pPr>
    </w:p>
    <w:tbl>
      <w:tblPr>
        <w:tblpPr w:leftFromText="180" w:rightFromText="180" w:horzAnchor="margin" w:tblpXSpec="center" w:tblpY="-11175"/>
        <w:tblW w:w="0" w:type="auto"/>
        <w:tblLayout w:type="fixed"/>
        <w:tblLook w:val="0000" w:firstRow="0" w:lastRow="0" w:firstColumn="0" w:lastColumn="0" w:noHBand="0" w:noVBand="0"/>
      </w:tblPr>
      <w:tblGrid>
        <w:gridCol w:w="2273"/>
        <w:gridCol w:w="1464"/>
        <w:gridCol w:w="1464"/>
        <w:gridCol w:w="1935"/>
      </w:tblGrid>
      <w:tr w:rsidR="00B21655" w:rsidTr="000135EA">
        <w:trPr>
          <w:trHeight w:val="753"/>
        </w:trPr>
        <w:tc>
          <w:tcPr>
            <w:tcW w:w="71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70E5" w:rsidRDefault="000070E5" w:rsidP="000070E5">
            <w:pPr>
              <w:widowControl/>
              <w:adjustRightInd w:val="0"/>
              <w:spacing w:line="360" w:lineRule="auto"/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</w:pPr>
          </w:p>
          <w:p w:rsidR="000070E5" w:rsidRDefault="000070E5" w:rsidP="000070E5">
            <w:pPr>
              <w:widowControl/>
              <w:adjustRightInd w:val="0"/>
              <w:spacing w:line="360" w:lineRule="auto"/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</w:pPr>
          </w:p>
          <w:p w:rsidR="005D7CC4" w:rsidRDefault="005D7CC4" w:rsidP="000070E5">
            <w:pPr>
              <w:widowControl/>
              <w:adjustRightInd w:val="0"/>
              <w:spacing w:line="360" w:lineRule="auto"/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</w:pPr>
          </w:p>
          <w:p w:rsidR="000135EA" w:rsidRDefault="000135EA" w:rsidP="000070E5">
            <w:pPr>
              <w:widowControl/>
              <w:adjustRightInd w:val="0"/>
              <w:spacing w:line="360" w:lineRule="auto"/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</w:pPr>
          </w:p>
          <w:p w:rsidR="000135EA" w:rsidRDefault="000135EA" w:rsidP="000070E5">
            <w:pPr>
              <w:widowControl/>
              <w:adjustRightInd w:val="0"/>
              <w:spacing w:line="360" w:lineRule="auto"/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</w:pPr>
          </w:p>
          <w:p w:rsidR="00B21655" w:rsidRDefault="00B21655" w:rsidP="000B3ADA">
            <w:pPr>
              <w:widowControl/>
              <w:adjustRightInd w:val="0"/>
              <w:spacing w:line="360" w:lineRule="auto"/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t>表</w:t>
            </w:r>
            <w:r w:rsidR="000B3ADA"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t xml:space="preserve">   201</w:t>
            </w:r>
            <w:r w:rsidR="005C3F83"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t xml:space="preserve">年规模以上工业主要工业产品产量及其增长速度 </w:t>
            </w:r>
          </w:p>
        </w:tc>
      </w:tr>
      <w:tr w:rsidR="00B21655" w:rsidTr="000135EA">
        <w:trPr>
          <w:trHeight w:val="563"/>
        </w:trPr>
        <w:tc>
          <w:tcPr>
            <w:tcW w:w="2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655" w:rsidRPr="00B03BEC" w:rsidRDefault="00B21655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产品名称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655" w:rsidRPr="00B03BEC" w:rsidRDefault="00B21655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655" w:rsidRPr="00B03BEC" w:rsidRDefault="00B21655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产量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21655" w:rsidRPr="00B03BEC" w:rsidRDefault="00B21655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比上年增长％</w:t>
            </w:r>
          </w:p>
        </w:tc>
      </w:tr>
      <w:tr w:rsidR="00B21655" w:rsidTr="000135EA">
        <w:trPr>
          <w:trHeight w:val="549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655" w:rsidRPr="00B03BEC" w:rsidRDefault="00B21655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原煤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655" w:rsidRPr="00B03BEC" w:rsidRDefault="00B21655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万吨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655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  <w:t>1841.90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655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-6.3</w:t>
            </w:r>
          </w:p>
        </w:tc>
      </w:tr>
      <w:tr w:rsidR="007954AB" w:rsidTr="000135EA">
        <w:trPr>
          <w:trHeight w:val="570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B" w:rsidRPr="00B03BEC" w:rsidRDefault="007954AB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洗精煤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4AB" w:rsidRPr="00B03BEC" w:rsidRDefault="007954AB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万吨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4AB" w:rsidRPr="00B03BEC" w:rsidRDefault="000070E5" w:rsidP="00805CE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4</w:t>
            </w:r>
            <w:r w:rsidR="00805CE6" w:rsidRPr="00B03BEC"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  <w:t>8</w:t>
            </w: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  <w:t>3.</w:t>
            </w:r>
            <w:r w:rsidR="00805CE6" w:rsidRPr="00B03BEC"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  <w:t>61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4AB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  <w:t>1.4</w:t>
            </w:r>
          </w:p>
        </w:tc>
      </w:tr>
      <w:tr w:rsidR="00F0532E" w:rsidTr="000135EA">
        <w:trPr>
          <w:trHeight w:val="551"/>
        </w:trPr>
        <w:tc>
          <w:tcPr>
            <w:tcW w:w="2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F0532E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饲料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F0532E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0070E5" w:rsidP="00805CE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.</w:t>
            </w:r>
            <w:r w:rsidR="00805CE6"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2E" w:rsidRPr="00B03BEC" w:rsidRDefault="000070E5" w:rsidP="00805CE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 w:rsidR="00805CE6"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40.0</w:t>
            </w:r>
          </w:p>
        </w:tc>
      </w:tr>
      <w:tr w:rsidR="00F0532E" w:rsidTr="000135EA">
        <w:trPr>
          <w:trHeight w:val="558"/>
        </w:trPr>
        <w:tc>
          <w:tcPr>
            <w:tcW w:w="2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F0532E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发电量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F0532E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万千瓦时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97770.29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2E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30.5</w:t>
            </w:r>
          </w:p>
        </w:tc>
      </w:tr>
      <w:tr w:rsidR="00F0532E" w:rsidTr="000135EA">
        <w:trPr>
          <w:trHeight w:val="554"/>
        </w:trPr>
        <w:tc>
          <w:tcPr>
            <w:tcW w:w="2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F0532E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精制食用植物油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F0532E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2E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1747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2E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-54.2</w:t>
            </w:r>
          </w:p>
        </w:tc>
      </w:tr>
      <w:tr w:rsidR="00805CE6" w:rsidTr="000135EA">
        <w:trPr>
          <w:trHeight w:val="547"/>
        </w:trPr>
        <w:tc>
          <w:tcPr>
            <w:tcW w:w="2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CE6" w:rsidRPr="00B03BEC" w:rsidRDefault="00805CE6" w:rsidP="00805CE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机制纸及纸板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CE6" w:rsidRPr="00B03BEC" w:rsidRDefault="00805CE6" w:rsidP="00805CE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CE6" w:rsidRPr="00B03BEC" w:rsidRDefault="00805CE6" w:rsidP="00805CE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42.6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CE6" w:rsidRPr="00B03BEC" w:rsidRDefault="00805CE6" w:rsidP="00805CE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3.8</w:t>
            </w:r>
          </w:p>
        </w:tc>
      </w:tr>
      <w:tr w:rsidR="007954AB" w:rsidTr="000135EA">
        <w:trPr>
          <w:trHeight w:val="599"/>
        </w:trPr>
        <w:tc>
          <w:tcPr>
            <w:tcW w:w="2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54AB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乙二醇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4AB" w:rsidRPr="00B03BEC" w:rsidRDefault="007954AB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万吨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4AB" w:rsidRPr="00B03BEC" w:rsidRDefault="006F2550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23.45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AB" w:rsidRPr="00B03BEC" w:rsidRDefault="00805CE6" w:rsidP="000070E5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14.9</w:t>
            </w:r>
          </w:p>
        </w:tc>
      </w:tr>
    </w:tbl>
    <w:p w:rsidR="00B21655" w:rsidRDefault="00B21655" w:rsidP="000135EA">
      <w:pPr>
        <w:widowControl/>
        <w:adjustRightInd w:val="0"/>
        <w:spacing w:before="100"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规模以上工业主营业务收入</w:t>
      </w:r>
      <w:r w:rsidR="006F2550">
        <w:rPr>
          <w:rFonts w:ascii="宋体" w:hAnsi="宋体" w:cs="宋体"/>
          <w:color w:val="000000"/>
          <w:kern w:val="0"/>
          <w:sz w:val="28"/>
          <w:szCs w:val="28"/>
          <w:lang w:val="zh-CN"/>
        </w:rPr>
        <w:t>132.0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亿元，比上年</w:t>
      </w:r>
      <w:r w:rsidR="006F255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下降1</w:t>
      </w:r>
      <w:r w:rsidR="006F2550">
        <w:rPr>
          <w:rFonts w:ascii="宋体" w:hAnsi="宋体" w:cs="宋体"/>
          <w:color w:val="000000"/>
          <w:kern w:val="0"/>
          <w:sz w:val="28"/>
          <w:szCs w:val="28"/>
          <w:lang w:val="zh-CN"/>
        </w:rPr>
        <w:t>1.2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%；实现利税</w:t>
      </w:r>
      <w:r w:rsidR="0028513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21.0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</w:t>
      </w:r>
      <w:r w:rsidR="00B8559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，比上年</w:t>
      </w:r>
      <w:r w:rsidR="0028513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下降4</w:t>
      </w:r>
      <w:r w:rsidR="0028513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0.5</w:t>
      </w:r>
      <w:r w:rsidR="00B8559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；实现利润</w:t>
      </w:r>
      <w:r w:rsidR="0028513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5.4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</w:t>
      </w:r>
      <w:r w:rsidR="00986E9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比上年</w:t>
      </w:r>
      <w:r w:rsidR="0028513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下降6</w:t>
      </w:r>
      <w:r w:rsidR="0028513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1.1</w:t>
      </w:r>
      <w:r w:rsidR="00986E9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实现税金</w:t>
      </w:r>
      <w:r w:rsidR="00285134">
        <w:rPr>
          <w:rFonts w:ascii="宋体" w:hAnsi="宋体" w:cs="宋体"/>
          <w:color w:val="000000"/>
          <w:kern w:val="0"/>
          <w:sz w:val="28"/>
          <w:szCs w:val="28"/>
        </w:rPr>
        <w:t>15.6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</w:t>
      </w:r>
      <w:r w:rsidR="000B074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，比上年</w:t>
      </w:r>
      <w:r w:rsidR="0028513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下降2</w:t>
      </w:r>
      <w:r w:rsidR="0028513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7.2</w:t>
      </w:r>
      <w:r w:rsidR="000B074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。</w:t>
      </w:r>
    </w:p>
    <w:p w:rsidR="0054020A" w:rsidRDefault="00B21655" w:rsidP="00D62983">
      <w:pPr>
        <w:widowControl/>
        <w:adjustRightInd w:val="0"/>
        <w:spacing w:before="360" w:after="360" w:line="500" w:lineRule="exact"/>
        <w:ind w:firstLineChars="200" w:firstLine="602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CN"/>
        </w:rPr>
      </w:pPr>
      <w:r w:rsidRPr="00827808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四、</w:t>
      </w:r>
      <w:r w:rsidR="0054020A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能源</w:t>
      </w:r>
    </w:p>
    <w:p w:rsidR="0054020A" w:rsidRPr="0054020A" w:rsidRDefault="0054020A" w:rsidP="0054020A">
      <w:pPr>
        <w:widowControl/>
        <w:adjustRightInd w:val="0"/>
        <w:spacing w:line="500" w:lineRule="exact"/>
        <w:ind w:firstLineChars="200" w:firstLine="600"/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</w:pPr>
      <w:r w:rsidRPr="0054020A">
        <w:rPr>
          <w:rFonts w:ascii="宋体" w:hAnsi="宋体" w:cs="宋体" w:hint="eastAsia"/>
          <w:bCs/>
          <w:color w:val="000000"/>
          <w:kern w:val="0"/>
          <w:sz w:val="30"/>
          <w:szCs w:val="30"/>
          <w:lang w:val="zh-CN"/>
        </w:rPr>
        <w:t>全年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val="zh-CN"/>
        </w:rPr>
        <w:t>全县全社会用电总量1</w:t>
      </w:r>
      <w:r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9.11亿千瓦小时。其中，第一产业用电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val="zh-CN"/>
        </w:rPr>
        <w:t>0</w:t>
      </w:r>
      <w:r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.15亿千瓦小时，占全社会用电量的比重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val="zh-CN"/>
        </w:rPr>
        <w:t>0</w:t>
      </w:r>
      <w:r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.8%；第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val="zh-CN"/>
        </w:rPr>
        <w:t>二</w:t>
      </w:r>
      <w:r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产业用电16.0</w:t>
      </w:r>
      <w:r w:rsidR="00A31DE9"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6</w:t>
      </w:r>
      <w:r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亿千瓦小时，占全社会用电量的比重84.</w:t>
      </w:r>
      <w:r w:rsidR="00A31DE9"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0</w:t>
      </w:r>
      <w:r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%；第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val="zh-CN"/>
        </w:rPr>
        <w:t>三</w:t>
      </w:r>
      <w:r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产业用电1.62亿千瓦小时，占全社会用电量的比重8.5%；城乡居民生活用电</w:t>
      </w:r>
      <w:r w:rsidR="00A31DE9">
        <w:rPr>
          <w:rFonts w:ascii="宋体" w:hAnsi="宋体" w:cs="宋体" w:hint="eastAsia"/>
          <w:bCs/>
          <w:color w:val="000000"/>
          <w:kern w:val="0"/>
          <w:sz w:val="30"/>
          <w:szCs w:val="30"/>
          <w:lang w:val="zh-CN"/>
        </w:rPr>
        <w:t>1</w:t>
      </w:r>
      <w:r w:rsidR="00A31DE9">
        <w:rPr>
          <w:rFonts w:ascii="宋体" w:hAnsi="宋体" w:cs="宋体"/>
          <w:bCs/>
          <w:color w:val="000000"/>
          <w:kern w:val="0"/>
          <w:sz w:val="30"/>
          <w:szCs w:val="30"/>
          <w:lang w:val="zh-CN"/>
        </w:rPr>
        <w:t>.28亿千瓦小时，占全社会用电量的比重6.7%。</w:t>
      </w:r>
    </w:p>
    <w:p w:rsidR="00B21655" w:rsidRPr="00827808" w:rsidRDefault="00F76282" w:rsidP="00D62983">
      <w:pPr>
        <w:widowControl/>
        <w:adjustRightInd w:val="0"/>
        <w:spacing w:before="360" w:after="360" w:line="500" w:lineRule="exact"/>
        <w:ind w:firstLineChars="200" w:firstLine="602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五、</w:t>
      </w:r>
      <w:r w:rsidR="00B21655" w:rsidRPr="00827808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固定资产投资</w:t>
      </w:r>
    </w:p>
    <w:p w:rsidR="000135EA" w:rsidRDefault="00B21655" w:rsidP="000B1855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全年全</w:t>
      </w:r>
      <w:r w:rsidR="00F76282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县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固定资产投资达到</w:t>
      </w:r>
      <w:r w:rsidR="008765B0">
        <w:rPr>
          <w:rFonts w:ascii="宋体" w:hAnsi="宋体" w:cs="宋体"/>
          <w:color w:val="000000"/>
          <w:kern w:val="0"/>
          <w:sz w:val="28"/>
          <w:szCs w:val="28"/>
        </w:rPr>
        <w:t>40.47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亿元，比上年</w:t>
      </w:r>
      <w:r w:rsidR="008765B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增长3</w:t>
      </w:r>
      <w:r w:rsidR="008765B0">
        <w:rPr>
          <w:rFonts w:ascii="宋体" w:hAnsi="宋体" w:cs="宋体"/>
          <w:color w:val="000000"/>
          <w:kern w:val="0"/>
          <w:sz w:val="28"/>
          <w:szCs w:val="28"/>
          <w:lang w:val="zh-CN"/>
        </w:rPr>
        <w:t>0.9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p w:rsidR="00D62983" w:rsidRDefault="00D62983" w:rsidP="000B1855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分构成看，</w:t>
      </w:r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建筑安装工程投资完成2</w:t>
      </w:r>
      <w:r w:rsidR="0036549A">
        <w:rPr>
          <w:rFonts w:ascii="宋体" w:hAnsi="宋体" w:cs="宋体"/>
          <w:color w:val="000000"/>
          <w:kern w:val="0"/>
          <w:sz w:val="28"/>
          <w:szCs w:val="28"/>
          <w:lang w:val="zh-CN"/>
        </w:rPr>
        <w:t>6</w:t>
      </w:r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亿元，比上年增长</w:t>
      </w:r>
      <w:r w:rsidR="0036549A">
        <w:rPr>
          <w:rFonts w:ascii="宋体" w:hAnsi="宋体" w:cs="宋体"/>
          <w:color w:val="000000"/>
          <w:kern w:val="0"/>
          <w:sz w:val="28"/>
          <w:szCs w:val="28"/>
          <w:lang w:val="zh-CN"/>
        </w:rPr>
        <w:t>70.2</w:t>
      </w:r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</w:t>
      </w:r>
      <w:proofErr w:type="gramStart"/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lastRenderedPageBreak/>
        <w:t>设备工</w:t>
      </w:r>
      <w:proofErr w:type="gramEnd"/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器具购置投资完成8</w:t>
      </w:r>
      <w:r w:rsidR="0036549A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.02</w:t>
      </w:r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亿元，比上年下降3</w:t>
      </w:r>
      <w:r w:rsidR="0036549A">
        <w:rPr>
          <w:rFonts w:ascii="宋体" w:hAnsi="宋体" w:cs="宋体"/>
          <w:color w:val="000000"/>
          <w:kern w:val="0"/>
          <w:sz w:val="28"/>
          <w:szCs w:val="28"/>
          <w:lang w:val="zh-CN"/>
        </w:rPr>
        <w:t>3.4</w:t>
      </w:r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%；其他投资完成6</w:t>
      </w:r>
      <w:r w:rsidR="0036549A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.45</w:t>
      </w:r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亿元，比上年增长</w:t>
      </w:r>
      <w:r w:rsidR="0036549A">
        <w:rPr>
          <w:rFonts w:ascii="宋体" w:hAnsi="宋体" w:cs="宋体"/>
          <w:color w:val="000000"/>
          <w:kern w:val="0"/>
          <w:sz w:val="28"/>
          <w:szCs w:val="28"/>
          <w:lang w:val="zh-CN"/>
        </w:rPr>
        <w:t>79.3</w:t>
      </w:r>
      <w:r w:rsidR="0036549A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p w:rsidR="00B21655" w:rsidRDefault="0036549A" w:rsidP="00F42C69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分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产业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看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，第一产业投资完成</w:t>
      </w:r>
      <w:r w:rsidR="008765B0">
        <w:rPr>
          <w:rFonts w:ascii="宋体" w:hAnsi="宋体" w:cs="宋体"/>
          <w:color w:val="000000"/>
          <w:kern w:val="0"/>
          <w:sz w:val="28"/>
          <w:szCs w:val="28"/>
        </w:rPr>
        <w:t>3.62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比</w:t>
      </w:r>
      <w:r w:rsidR="00C43E1F">
        <w:rPr>
          <w:rFonts w:ascii="宋体" w:hAnsi="宋体" w:cs="宋体" w:hint="eastAsia"/>
          <w:color w:val="000000"/>
          <w:kern w:val="0"/>
          <w:sz w:val="28"/>
          <w:szCs w:val="28"/>
        </w:rPr>
        <w:t>上年</w:t>
      </w:r>
      <w:r w:rsidR="008765B0">
        <w:rPr>
          <w:rFonts w:ascii="宋体" w:hAnsi="宋体" w:cs="宋体" w:hint="eastAsia"/>
          <w:color w:val="000000"/>
          <w:kern w:val="0"/>
          <w:sz w:val="28"/>
          <w:szCs w:val="28"/>
        </w:rPr>
        <w:t>增长5</w:t>
      </w:r>
      <w:r w:rsidR="008765B0">
        <w:rPr>
          <w:rFonts w:ascii="宋体" w:hAnsi="宋体" w:cs="宋体"/>
          <w:color w:val="000000"/>
          <w:kern w:val="0"/>
          <w:sz w:val="28"/>
          <w:szCs w:val="28"/>
        </w:rPr>
        <w:t>742.0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第二产业完成投资额</w:t>
      </w:r>
      <w:r w:rsidR="008765B0">
        <w:rPr>
          <w:rFonts w:ascii="宋体" w:hAnsi="宋体" w:cs="宋体"/>
          <w:color w:val="000000"/>
          <w:kern w:val="0"/>
          <w:sz w:val="28"/>
          <w:szCs w:val="28"/>
        </w:rPr>
        <w:t>23.54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亿元,比</w:t>
      </w:r>
      <w:r w:rsidR="00C43E1F">
        <w:rPr>
          <w:rFonts w:ascii="宋体" w:hAnsi="宋体" w:cs="宋体" w:hint="eastAsia"/>
          <w:color w:val="000000"/>
          <w:kern w:val="0"/>
          <w:sz w:val="28"/>
          <w:szCs w:val="28"/>
        </w:rPr>
        <w:t>上年</w:t>
      </w:r>
      <w:r w:rsidR="005815D5">
        <w:rPr>
          <w:rFonts w:ascii="宋体" w:hAnsi="宋体" w:cs="宋体" w:hint="eastAsia"/>
          <w:color w:val="000000"/>
          <w:kern w:val="0"/>
          <w:sz w:val="28"/>
          <w:szCs w:val="28"/>
        </w:rPr>
        <w:t>下降</w:t>
      </w:r>
      <w:r w:rsidR="008765B0">
        <w:rPr>
          <w:rFonts w:ascii="宋体" w:hAnsi="宋体" w:cs="宋体"/>
          <w:color w:val="000000"/>
          <w:kern w:val="0"/>
          <w:sz w:val="28"/>
          <w:szCs w:val="28"/>
        </w:rPr>
        <w:t>13.1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第三产业完成投资额</w:t>
      </w:r>
      <w:r w:rsidR="008765B0">
        <w:rPr>
          <w:rFonts w:ascii="宋体" w:hAnsi="宋体" w:cs="宋体"/>
          <w:color w:val="000000"/>
          <w:kern w:val="0"/>
          <w:sz w:val="28"/>
          <w:szCs w:val="28"/>
        </w:rPr>
        <w:t>13.31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亿元,比</w:t>
      </w:r>
      <w:r w:rsidR="00C43E1F">
        <w:rPr>
          <w:rFonts w:ascii="宋体" w:hAnsi="宋体" w:cs="宋体" w:hint="eastAsia"/>
          <w:color w:val="000000"/>
          <w:kern w:val="0"/>
          <w:sz w:val="28"/>
          <w:szCs w:val="28"/>
        </w:rPr>
        <w:t>上年增长</w:t>
      </w:r>
      <w:r w:rsidR="008765B0">
        <w:rPr>
          <w:rFonts w:ascii="宋体" w:hAnsi="宋体" w:cs="宋体"/>
          <w:color w:val="000000"/>
          <w:kern w:val="0"/>
          <w:sz w:val="28"/>
          <w:szCs w:val="28"/>
        </w:rPr>
        <w:t>252.7</w:t>
      </w:r>
      <w:r w:rsidR="00B21655">
        <w:rPr>
          <w:rFonts w:ascii="宋体" w:hAnsi="宋体" w:cs="宋体" w:hint="eastAsia"/>
          <w:color w:val="000000"/>
          <w:kern w:val="0"/>
          <w:sz w:val="28"/>
          <w:szCs w:val="28"/>
        </w:rPr>
        <w:t>%。</w:t>
      </w:r>
    </w:p>
    <w:p w:rsidR="00755CD7" w:rsidRDefault="0036549A" w:rsidP="00F42C69"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宋体" w:cs="宋体" w:hint="eastAsia"/>
          <w:kern w:val="0"/>
          <w:sz w:val="24"/>
        </w:rPr>
        <w:t xml:space="preserve"> </w:t>
      </w:r>
      <w:r>
        <w:rPr>
          <w:rFonts w:ascii="黑体" w:eastAsia="黑体" w:hAnsi="宋体" w:cs="宋体"/>
          <w:kern w:val="0"/>
          <w:sz w:val="24"/>
        </w:rPr>
        <w:t xml:space="preserve">   </w:t>
      </w:r>
      <w:r w:rsidRPr="001E1D5C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 w:rsidR="001E1D5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全年</w:t>
      </w:r>
      <w:r w:rsidR="001E1D5C" w:rsidRPr="001E1D5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全县</w:t>
      </w:r>
      <w:r w:rsidR="001E1D5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在建固定资产投资项目（不含房地产开发项目）8</w:t>
      </w:r>
      <w:r w:rsidR="001E1D5C">
        <w:rPr>
          <w:rFonts w:asciiTheme="minorEastAsia" w:eastAsiaTheme="minorEastAsia" w:hAnsiTheme="minorEastAsia" w:cs="宋体"/>
          <w:kern w:val="0"/>
          <w:sz w:val="28"/>
          <w:szCs w:val="28"/>
        </w:rPr>
        <w:t>9</w:t>
      </w:r>
      <w:r w:rsidR="001E1D5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个。其中，亿元以上项目2</w:t>
      </w:r>
      <w:r w:rsidR="001E1D5C">
        <w:rPr>
          <w:rFonts w:asciiTheme="minorEastAsia" w:eastAsiaTheme="minorEastAsia" w:hAnsiTheme="minorEastAsia" w:cs="宋体"/>
          <w:kern w:val="0"/>
          <w:sz w:val="28"/>
          <w:szCs w:val="28"/>
        </w:rPr>
        <w:t>7</w:t>
      </w:r>
      <w:r w:rsidR="001E1D5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个，亿元以上项目完成投资3</w:t>
      </w:r>
      <w:r w:rsidR="001E1D5C">
        <w:rPr>
          <w:rFonts w:asciiTheme="minorEastAsia" w:eastAsiaTheme="minorEastAsia" w:hAnsiTheme="minorEastAsia" w:cs="宋体"/>
          <w:kern w:val="0"/>
          <w:sz w:val="28"/>
          <w:szCs w:val="28"/>
        </w:rPr>
        <w:t>2.07</w:t>
      </w:r>
      <w:r w:rsidR="001E1D5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亿元，</w:t>
      </w:r>
      <w:r w:rsidR="001E1D5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比上年增长</w:t>
      </w:r>
      <w:r w:rsidR="001E1D5C">
        <w:rPr>
          <w:rFonts w:ascii="宋体" w:hAnsi="宋体" w:cs="宋体"/>
          <w:color w:val="000000"/>
          <w:kern w:val="0"/>
          <w:sz w:val="28"/>
          <w:szCs w:val="28"/>
          <w:lang w:val="zh-CN"/>
        </w:rPr>
        <w:t>41.1</w:t>
      </w:r>
      <w:r w:rsidR="001E1D5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p w:rsidR="00DB6B1B" w:rsidRDefault="00DB6B1B" w:rsidP="00F42C69"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全年全县房地产开发投资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.3亿元。</w:t>
      </w:r>
    </w:p>
    <w:p w:rsidR="0046691A" w:rsidRDefault="0046691A" w:rsidP="000135EA">
      <w:pPr>
        <w:widowControl/>
        <w:spacing w:line="500" w:lineRule="exact"/>
        <w:ind w:firstLineChars="400" w:firstLine="964"/>
        <w:jc w:val="center"/>
        <w:rPr>
          <w:rFonts w:ascii="黑体" w:eastAsia="黑体" w:hAnsi="黑体" w:cs="宋体"/>
          <w:b/>
          <w:color w:val="000000"/>
          <w:kern w:val="0"/>
          <w:sz w:val="24"/>
          <w:lang w:val="zh-CN"/>
        </w:rPr>
      </w:pPr>
      <w:r w:rsidRPr="000135EA">
        <w:rPr>
          <w:rFonts w:ascii="黑体" w:eastAsia="黑体" w:hAnsi="黑体" w:cs="宋体"/>
          <w:b/>
          <w:color w:val="000000"/>
          <w:kern w:val="0"/>
          <w:sz w:val="24"/>
          <w:lang w:val="zh-CN"/>
        </w:rPr>
        <w:t>表</w:t>
      </w:r>
      <w:r w:rsidR="000B3ADA" w:rsidRPr="000135EA">
        <w:rPr>
          <w:rFonts w:ascii="黑体" w:eastAsia="黑体" w:hAnsi="黑体" w:cs="宋体"/>
          <w:b/>
          <w:color w:val="000000"/>
          <w:kern w:val="0"/>
          <w:sz w:val="24"/>
          <w:lang w:val="zh-CN"/>
        </w:rPr>
        <w:t>4</w:t>
      </w:r>
      <w:r w:rsidRPr="000135EA">
        <w:rPr>
          <w:rFonts w:ascii="黑体" w:eastAsia="黑体" w:hAnsi="黑体" w:cs="宋体"/>
          <w:b/>
          <w:color w:val="000000"/>
          <w:kern w:val="0"/>
          <w:sz w:val="24"/>
          <w:lang w:val="zh-CN"/>
        </w:rPr>
        <w:t xml:space="preserve"> 2019年分类固定资产投资增长速度</w:t>
      </w:r>
    </w:p>
    <w:tbl>
      <w:tblPr>
        <w:tblW w:w="83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713"/>
      </w:tblGrid>
      <w:tr w:rsidR="0046691A" w:rsidRPr="00AF1D70" w:rsidTr="000135EA">
        <w:trPr>
          <w:trHeight w:val="1189"/>
        </w:trPr>
        <w:tc>
          <w:tcPr>
            <w:tcW w:w="45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指 标 名 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46691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增长速度（%</w:t>
            </w:r>
            <w:r w:rsidRPr="0046691A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）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46691A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>固定资产投资完成额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30.9 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     按项目类型分：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建安工程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70.2 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设备购置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-33.4 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其他费用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79.3 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46691A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>工业性投资完成额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-13.1 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46691A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>工业企业技术改造投资完成额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-47.8 </w:t>
            </w:r>
          </w:p>
        </w:tc>
      </w:tr>
      <w:tr w:rsidR="0046691A" w:rsidRPr="00AF1D70" w:rsidTr="000135EA">
        <w:trPr>
          <w:trHeight w:val="441"/>
        </w:trPr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46691A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>转型项目投资完成额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-2.2 </w:t>
            </w:r>
          </w:p>
        </w:tc>
      </w:tr>
      <w:tr w:rsidR="0046691A" w:rsidRPr="00AF1D70" w:rsidTr="000135EA">
        <w:trPr>
          <w:trHeight w:val="180"/>
        </w:trPr>
        <w:tc>
          <w:tcPr>
            <w:tcW w:w="45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46691A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>亿元以上项目投资完成额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91A" w:rsidRPr="0046691A" w:rsidRDefault="0046691A" w:rsidP="00AF1D7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91A">
              <w:rPr>
                <w:rFonts w:ascii="仿宋" w:eastAsia="仿宋" w:hAnsi="仿宋" w:cs="宋体" w:hint="eastAsia"/>
                <w:kern w:val="0"/>
                <w:sz w:val="24"/>
              </w:rPr>
              <w:t xml:space="preserve">41.1 </w:t>
            </w:r>
          </w:p>
        </w:tc>
      </w:tr>
    </w:tbl>
    <w:p w:rsidR="00B21655" w:rsidRDefault="00F42C69" w:rsidP="000135EA">
      <w:pPr>
        <w:widowControl/>
        <w:spacing w:before="100" w:beforeAutospacing="1" w:after="100" w:afterAutospacing="1" w:line="500" w:lineRule="exact"/>
        <w:ind w:firstLineChars="200" w:firstLine="602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六</w:t>
      </w:r>
      <w:r w:rsidR="00B21655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、国内外经济贸易</w:t>
      </w:r>
    </w:p>
    <w:p w:rsidR="00B21655" w:rsidRDefault="00B21655">
      <w:pPr>
        <w:widowControl/>
        <w:adjustRightInd w:val="0"/>
        <w:spacing w:before="100" w:after="100"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全年全县社会消费品零售总额</w:t>
      </w:r>
      <w:r w:rsidR="007D1F80">
        <w:rPr>
          <w:rFonts w:ascii="宋体" w:hAnsi="宋体" w:cs="宋体"/>
          <w:color w:val="000000"/>
          <w:kern w:val="0"/>
          <w:sz w:val="28"/>
          <w:szCs w:val="28"/>
        </w:rPr>
        <w:t>32.97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亿元，比上年增长</w:t>
      </w:r>
      <w:r w:rsidR="007D1F80">
        <w:rPr>
          <w:rFonts w:ascii="宋体" w:hAnsi="宋体" w:cs="宋体"/>
          <w:color w:val="000000"/>
          <w:kern w:val="0"/>
          <w:sz w:val="28"/>
          <w:szCs w:val="28"/>
        </w:rPr>
        <w:t>8.6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  <w:r w:rsidR="00A2254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按经营地统计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，城镇消费品零售额</w:t>
      </w:r>
      <w:r w:rsidR="00A22544">
        <w:rPr>
          <w:rFonts w:ascii="宋体" w:hAnsi="宋体" w:cs="宋体"/>
          <w:color w:val="000000"/>
          <w:kern w:val="0"/>
          <w:sz w:val="28"/>
          <w:szCs w:val="28"/>
        </w:rPr>
        <w:t>24.09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亿元，增长</w:t>
      </w:r>
      <w:r w:rsidR="00A2254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9.1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%；乡村消费品零售额</w:t>
      </w:r>
      <w:r w:rsidR="00A22544">
        <w:rPr>
          <w:rFonts w:ascii="宋体" w:hAnsi="宋体" w:cs="宋体"/>
          <w:color w:val="000000"/>
          <w:kern w:val="0"/>
          <w:sz w:val="28"/>
          <w:szCs w:val="28"/>
        </w:rPr>
        <w:t>8.89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亿元，增长</w:t>
      </w:r>
      <w:r w:rsidR="00AA4F48">
        <w:rPr>
          <w:rFonts w:ascii="宋体" w:hAnsi="宋体" w:cs="宋体"/>
          <w:color w:val="000000"/>
          <w:kern w:val="0"/>
          <w:sz w:val="28"/>
          <w:szCs w:val="28"/>
        </w:rPr>
        <w:t>7.</w:t>
      </w:r>
      <w:r w:rsidR="00A22544"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  <w:r w:rsidR="00A2254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按照消费形态统计，商品零售额2</w:t>
      </w:r>
      <w:r w:rsidR="00A2254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9.22</w:t>
      </w:r>
      <w:r w:rsidR="00A2254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亿元，增长8</w:t>
      </w:r>
      <w:r w:rsidR="00A2254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.8%；</w:t>
      </w:r>
      <w:r w:rsidR="00A2254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餐饮收入额3</w:t>
      </w:r>
      <w:r w:rsidR="00A2254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.75</w:t>
      </w:r>
      <w:r w:rsidR="00A22544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亿元，增长7</w:t>
      </w:r>
      <w:r w:rsidR="00A22544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.2%。</w:t>
      </w:r>
    </w:p>
    <w:p w:rsidR="005637E7" w:rsidRDefault="005637E7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</w:p>
    <w:p w:rsidR="000135EA" w:rsidRDefault="000135EA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</w:p>
    <w:p w:rsidR="00B21655" w:rsidRDefault="00F2505B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293370</wp:posOffset>
            </wp:positionV>
            <wp:extent cx="5201285" cy="2352675"/>
            <wp:effectExtent l="0" t="0" r="0" b="0"/>
            <wp:wrapTopAndBottom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55">
        <w:rPr>
          <w:rFonts w:ascii="黑体" w:eastAsia="黑体" w:hAnsi="宋体" w:cs="宋体" w:hint="eastAsia"/>
          <w:kern w:val="0"/>
          <w:sz w:val="24"/>
        </w:rPr>
        <w:t>图</w:t>
      </w:r>
      <w:r w:rsidR="000B3ADA">
        <w:rPr>
          <w:rFonts w:ascii="黑体" w:eastAsia="黑体" w:hAnsi="宋体" w:cs="宋体"/>
          <w:kern w:val="0"/>
          <w:sz w:val="24"/>
        </w:rPr>
        <w:t>5</w:t>
      </w:r>
      <w:r w:rsidR="00B21655">
        <w:rPr>
          <w:rFonts w:ascii="黑体" w:eastAsia="黑体" w:hAnsi="宋体" w:cs="宋体" w:hint="eastAsia"/>
          <w:kern w:val="0"/>
          <w:sz w:val="24"/>
        </w:rPr>
        <w:t xml:space="preserve"> 20</w:t>
      </w:r>
      <w:r w:rsidR="00D87C2D">
        <w:rPr>
          <w:rFonts w:ascii="黑体" w:eastAsia="黑体" w:hAnsi="宋体" w:cs="宋体" w:hint="eastAsia"/>
          <w:kern w:val="0"/>
          <w:sz w:val="24"/>
        </w:rPr>
        <w:t>1</w:t>
      </w:r>
      <w:r w:rsidR="0024573C">
        <w:rPr>
          <w:rFonts w:ascii="黑体" w:eastAsia="黑体" w:hAnsi="宋体" w:cs="宋体"/>
          <w:kern w:val="0"/>
          <w:sz w:val="24"/>
        </w:rPr>
        <w:t>5</w:t>
      </w:r>
      <w:r w:rsidR="00B21655">
        <w:rPr>
          <w:rFonts w:ascii="黑体" w:eastAsia="黑体" w:hAnsi="宋体" w:cs="宋体" w:hint="eastAsia"/>
          <w:kern w:val="0"/>
          <w:sz w:val="24"/>
        </w:rPr>
        <w:t>年—201</w:t>
      </w:r>
      <w:r w:rsidR="0024573C">
        <w:rPr>
          <w:rFonts w:ascii="黑体" w:eastAsia="黑体" w:hAnsi="宋体" w:cs="宋体"/>
          <w:kern w:val="0"/>
          <w:sz w:val="24"/>
        </w:rPr>
        <w:t>9</w:t>
      </w:r>
      <w:r w:rsidR="00B21655">
        <w:rPr>
          <w:rFonts w:ascii="黑体" w:eastAsia="黑体" w:hAnsi="宋体" w:cs="宋体" w:hint="eastAsia"/>
          <w:kern w:val="0"/>
          <w:sz w:val="24"/>
        </w:rPr>
        <w:t>年社会消费品零售总额及其增长速度</w:t>
      </w:r>
    </w:p>
    <w:p w:rsidR="00B21655" w:rsidRPr="00F42C69" w:rsidRDefault="00685AF8" w:rsidP="00F75B44">
      <w:pPr>
        <w:widowControl/>
        <w:spacing w:before="100" w:beforeAutospacing="1" w:after="100" w:afterAutospacing="1"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 w:rsidRPr="00F42C69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全年</w:t>
      </w:r>
      <w:r w:rsidR="00B21655" w:rsidRPr="00F42C69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全县进出口总额为</w:t>
      </w:r>
      <w:r w:rsidR="00853F7D">
        <w:rPr>
          <w:rFonts w:ascii="宋体" w:hAnsi="宋体" w:cs="宋体"/>
          <w:color w:val="000000"/>
          <w:kern w:val="0"/>
          <w:sz w:val="28"/>
          <w:szCs w:val="28"/>
          <w:lang w:val="zh-CN"/>
        </w:rPr>
        <w:t>9013</w:t>
      </w:r>
      <w:r w:rsidR="00B21655" w:rsidRPr="00F42C69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万元，比上年</w:t>
      </w:r>
      <w:r w:rsidR="00853F7D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增长3</w:t>
      </w:r>
      <w:r w:rsidR="00853F7D">
        <w:rPr>
          <w:rFonts w:ascii="宋体" w:hAnsi="宋体" w:cs="宋体"/>
          <w:color w:val="000000"/>
          <w:kern w:val="0"/>
          <w:sz w:val="28"/>
          <w:szCs w:val="28"/>
          <w:lang w:val="zh-CN"/>
        </w:rPr>
        <w:t>.5</w:t>
      </w:r>
      <w:r w:rsidR="00B21655" w:rsidRPr="00F42C69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  <w:r w:rsidR="00F42C69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其中，进口额</w:t>
      </w:r>
      <w:r w:rsidR="00853F7D">
        <w:rPr>
          <w:rFonts w:ascii="宋体" w:hAnsi="宋体" w:cs="宋体"/>
          <w:color w:val="000000"/>
          <w:kern w:val="0"/>
          <w:sz w:val="28"/>
          <w:szCs w:val="28"/>
          <w:lang w:val="zh-CN"/>
        </w:rPr>
        <w:t>8964</w:t>
      </w:r>
      <w:r w:rsidR="00F42C69">
        <w:rPr>
          <w:rFonts w:ascii="宋体" w:hAnsi="宋体" w:cs="宋体"/>
          <w:color w:val="000000"/>
          <w:kern w:val="0"/>
          <w:sz w:val="28"/>
          <w:szCs w:val="28"/>
          <w:lang w:val="zh-CN"/>
        </w:rPr>
        <w:t>万元，增长</w:t>
      </w:r>
      <w:r w:rsidR="00D6402F">
        <w:rPr>
          <w:rFonts w:ascii="宋体" w:hAnsi="宋体" w:cs="宋体"/>
          <w:color w:val="000000"/>
          <w:kern w:val="0"/>
          <w:sz w:val="28"/>
          <w:szCs w:val="28"/>
          <w:lang w:val="zh-CN"/>
        </w:rPr>
        <w:t>3.6</w:t>
      </w:r>
      <w:r w:rsidR="00F42C69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%；出口额</w:t>
      </w:r>
      <w:r w:rsidR="00853F7D">
        <w:rPr>
          <w:rFonts w:ascii="宋体" w:hAnsi="宋体" w:cs="宋体"/>
          <w:color w:val="000000"/>
          <w:kern w:val="0"/>
          <w:sz w:val="28"/>
          <w:szCs w:val="28"/>
          <w:lang w:val="zh-CN"/>
        </w:rPr>
        <w:t>49</w:t>
      </w:r>
      <w:r w:rsidR="00F42C69">
        <w:rPr>
          <w:rFonts w:ascii="宋体" w:hAnsi="宋体" w:cs="宋体"/>
          <w:color w:val="000000"/>
          <w:kern w:val="0"/>
          <w:sz w:val="28"/>
          <w:szCs w:val="28"/>
          <w:lang w:val="zh-CN"/>
        </w:rPr>
        <w:t>万元，</w:t>
      </w:r>
      <w:r w:rsidR="00853F7D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下降1</w:t>
      </w:r>
      <w:r w:rsidR="00853F7D">
        <w:rPr>
          <w:rFonts w:ascii="宋体" w:hAnsi="宋体" w:cs="宋体"/>
          <w:color w:val="000000"/>
          <w:kern w:val="0"/>
          <w:sz w:val="28"/>
          <w:szCs w:val="28"/>
          <w:lang w:val="zh-CN"/>
        </w:rPr>
        <w:t>0.6</w:t>
      </w:r>
      <w:r w:rsidR="00F42C69">
        <w:rPr>
          <w:rFonts w:ascii="宋体" w:hAnsi="宋体" w:cs="宋体"/>
          <w:color w:val="000000"/>
          <w:kern w:val="0"/>
          <w:sz w:val="28"/>
          <w:szCs w:val="28"/>
          <w:lang w:val="zh-CN"/>
        </w:rPr>
        <w:t>%。</w:t>
      </w:r>
    </w:p>
    <w:p w:rsidR="00B21655" w:rsidRPr="00D16057" w:rsidRDefault="00CE2F00" w:rsidP="00F75B44">
      <w:pPr>
        <w:widowControl/>
        <w:adjustRightInd w:val="0"/>
        <w:spacing w:before="360" w:after="360" w:line="500" w:lineRule="exact"/>
        <w:ind w:firstLineChars="200" w:firstLine="602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七</w:t>
      </w:r>
      <w:r w:rsidR="00B21655" w:rsidRPr="00D16057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、交通</w:t>
      </w:r>
      <w:r w:rsidR="00B15955" w:rsidRPr="00D16057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、</w:t>
      </w:r>
      <w:r w:rsidR="00B21655" w:rsidRPr="00D16057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旅游</w:t>
      </w:r>
    </w:p>
    <w:p w:rsidR="00B21655" w:rsidRPr="00B05BDC" w:rsidRDefault="00B21655" w:rsidP="00F75B44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  <w:lang w:val="zh-CN"/>
        </w:rPr>
      </w:pPr>
      <w:r w:rsidRPr="00B05BDC">
        <w:rPr>
          <w:rFonts w:ascii="宋体" w:hAnsi="宋体" w:cs="宋体" w:hint="eastAsia"/>
          <w:kern w:val="0"/>
          <w:sz w:val="28"/>
          <w:szCs w:val="28"/>
          <w:lang w:val="zh-CN"/>
        </w:rPr>
        <w:t>年末全县公路通车里程为</w:t>
      </w:r>
      <w:r w:rsidR="00542875">
        <w:rPr>
          <w:rFonts w:ascii="宋体" w:hAnsi="宋体" w:cs="宋体"/>
          <w:kern w:val="0"/>
          <w:sz w:val="28"/>
          <w:szCs w:val="28"/>
          <w:lang w:val="zh-CN"/>
        </w:rPr>
        <w:t>1619.46</w:t>
      </w:r>
      <w:r w:rsidRPr="00B05BDC">
        <w:rPr>
          <w:rFonts w:ascii="宋体" w:hAnsi="宋体" w:cs="宋体" w:hint="eastAsia"/>
          <w:kern w:val="0"/>
          <w:sz w:val="28"/>
          <w:szCs w:val="28"/>
          <w:lang w:val="zh-CN"/>
        </w:rPr>
        <w:t>公里。公路密度为</w:t>
      </w:r>
      <w:r w:rsidR="00542875">
        <w:rPr>
          <w:rFonts w:ascii="宋体" w:hAnsi="宋体" w:cs="宋体"/>
          <w:kern w:val="0"/>
          <w:sz w:val="28"/>
          <w:szCs w:val="28"/>
        </w:rPr>
        <w:t>76.75</w:t>
      </w:r>
      <w:r w:rsidRPr="00B05BDC">
        <w:rPr>
          <w:rFonts w:ascii="宋体" w:hAnsi="宋体" w:cs="宋体" w:hint="eastAsia"/>
          <w:kern w:val="0"/>
          <w:sz w:val="28"/>
          <w:szCs w:val="28"/>
          <w:lang w:val="zh-CN"/>
        </w:rPr>
        <w:t>公里/</w:t>
      </w:r>
      <w:proofErr w:type="gramStart"/>
      <w:r w:rsidRPr="00B05BDC">
        <w:rPr>
          <w:rFonts w:ascii="宋体" w:hAnsi="宋体" w:cs="宋体" w:hint="eastAsia"/>
          <w:kern w:val="0"/>
          <w:sz w:val="28"/>
          <w:szCs w:val="28"/>
          <w:lang w:val="zh-CN"/>
        </w:rPr>
        <w:t>百平方公里</w:t>
      </w:r>
      <w:proofErr w:type="gramEnd"/>
      <w:r w:rsidRPr="00B05BDC">
        <w:rPr>
          <w:rFonts w:ascii="宋体" w:hAnsi="宋体" w:cs="宋体" w:hint="eastAsia"/>
          <w:kern w:val="0"/>
          <w:sz w:val="28"/>
          <w:szCs w:val="28"/>
          <w:lang w:val="zh-CN"/>
        </w:rPr>
        <w:t>。</w:t>
      </w:r>
    </w:p>
    <w:p w:rsidR="00B21655" w:rsidRPr="00652ED7" w:rsidRDefault="00B21655" w:rsidP="00F75B44">
      <w:pPr>
        <w:widowControl/>
        <w:adjustRightInd w:val="0"/>
        <w:spacing w:before="100" w:after="100"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 w:rsidRPr="00652ED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年末全县民用车辆保有量达到</w:t>
      </w:r>
      <w:r w:rsidR="00542875">
        <w:rPr>
          <w:rFonts w:ascii="宋体" w:hAnsi="宋体" w:cs="宋体"/>
          <w:color w:val="000000"/>
          <w:kern w:val="0"/>
          <w:sz w:val="28"/>
          <w:szCs w:val="28"/>
        </w:rPr>
        <w:t>48488</w:t>
      </w:r>
      <w:r w:rsidRPr="00652ED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辆，比上年末</w:t>
      </w:r>
      <w:r w:rsidR="00542875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增长3</w:t>
      </w:r>
      <w:r w:rsidR="00542875">
        <w:rPr>
          <w:rFonts w:ascii="宋体" w:hAnsi="宋体" w:cs="宋体"/>
          <w:color w:val="000000"/>
          <w:kern w:val="0"/>
          <w:sz w:val="28"/>
          <w:szCs w:val="28"/>
          <w:lang w:val="zh-CN"/>
        </w:rPr>
        <w:t>2.8</w:t>
      </w:r>
      <w:r w:rsidRPr="00652ED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%。其中，载客汽车</w:t>
      </w:r>
      <w:r w:rsidR="00542875">
        <w:rPr>
          <w:rFonts w:ascii="宋体" w:hAnsi="宋体" w:cs="宋体"/>
          <w:color w:val="000000"/>
          <w:kern w:val="0"/>
          <w:sz w:val="28"/>
          <w:szCs w:val="28"/>
        </w:rPr>
        <w:t>35680</w:t>
      </w:r>
      <w:r w:rsidRPr="00652ED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辆，增长</w:t>
      </w:r>
      <w:r w:rsidR="00542875">
        <w:rPr>
          <w:rFonts w:ascii="宋体" w:hAnsi="宋体" w:cs="宋体"/>
          <w:color w:val="000000"/>
          <w:kern w:val="0"/>
          <w:sz w:val="28"/>
          <w:szCs w:val="28"/>
          <w:lang w:val="zh-CN"/>
        </w:rPr>
        <w:t>13.6</w:t>
      </w:r>
      <w:r w:rsidRPr="00652ED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%；载货汽车</w:t>
      </w:r>
      <w:r w:rsidR="00542875">
        <w:rPr>
          <w:rFonts w:ascii="宋体" w:hAnsi="宋体" w:cs="宋体"/>
          <w:color w:val="000000"/>
          <w:kern w:val="0"/>
          <w:sz w:val="28"/>
          <w:szCs w:val="28"/>
        </w:rPr>
        <w:t>3667</w:t>
      </w:r>
      <w:r w:rsidRPr="00652ED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辆，</w:t>
      </w:r>
      <w:r w:rsidR="009366A1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</w:t>
      </w:r>
      <w:r w:rsidR="00542875">
        <w:rPr>
          <w:rFonts w:ascii="宋体" w:hAnsi="宋体" w:cs="宋体"/>
          <w:color w:val="000000"/>
          <w:kern w:val="0"/>
          <w:sz w:val="28"/>
          <w:szCs w:val="28"/>
          <w:lang w:val="zh-CN"/>
        </w:rPr>
        <w:t>3.3</w:t>
      </w:r>
      <w:r w:rsidRPr="00652ED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p w:rsidR="00B21655" w:rsidRPr="0080507C" w:rsidRDefault="00B21655" w:rsidP="00F75B44">
      <w:pPr>
        <w:widowControl/>
        <w:adjustRightInd w:val="0"/>
        <w:spacing w:before="100" w:after="100" w:line="500" w:lineRule="exact"/>
        <w:ind w:firstLineChars="200" w:firstLine="560"/>
        <w:rPr>
          <w:rFonts w:ascii="宋体" w:hAnsi="宋体" w:cs="宋体"/>
          <w:kern w:val="0"/>
          <w:sz w:val="28"/>
          <w:szCs w:val="28"/>
          <w:lang w:val="zh-CN"/>
        </w:rPr>
      </w:pPr>
      <w:r w:rsidRPr="0080507C">
        <w:rPr>
          <w:rFonts w:ascii="宋体" w:hAnsi="宋体" w:cs="宋体" w:hint="eastAsia"/>
          <w:kern w:val="0"/>
          <w:sz w:val="28"/>
          <w:szCs w:val="28"/>
          <w:lang w:val="zh-CN"/>
        </w:rPr>
        <w:t>全年全县共接待游客人数达到</w:t>
      </w:r>
      <w:bookmarkStart w:id="1" w:name="OLE_LINK1"/>
      <w:r w:rsidR="0080507C" w:rsidRPr="0080507C">
        <w:rPr>
          <w:rFonts w:ascii="宋体" w:hAnsi="宋体" w:cs="宋体"/>
          <w:kern w:val="0"/>
          <w:sz w:val="28"/>
          <w:szCs w:val="28"/>
        </w:rPr>
        <w:t>236.17</w:t>
      </w:r>
      <w:bookmarkEnd w:id="1"/>
      <w:r w:rsidRPr="0080507C">
        <w:rPr>
          <w:rFonts w:ascii="宋体" w:hAnsi="宋体" w:cs="宋体" w:hint="eastAsia"/>
          <w:kern w:val="0"/>
          <w:sz w:val="28"/>
          <w:szCs w:val="28"/>
          <w:lang w:val="zh-CN"/>
        </w:rPr>
        <w:t>万人次，比上年增长</w:t>
      </w:r>
      <w:r w:rsidR="0080507C" w:rsidRPr="0080507C">
        <w:rPr>
          <w:rFonts w:ascii="宋体" w:hAnsi="宋体" w:cs="宋体"/>
          <w:kern w:val="0"/>
          <w:sz w:val="28"/>
          <w:szCs w:val="28"/>
        </w:rPr>
        <w:t>19.95</w:t>
      </w:r>
      <w:r w:rsidRPr="0080507C">
        <w:rPr>
          <w:rFonts w:ascii="宋体" w:hAnsi="宋体" w:cs="宋体" w:hint="eastAsia"/>
          <w:kern w:val="0"/>
          <w:sz w:val="28"/>
          <w:szCs w:val="28"/>
          <w:lang w:val="zh-CN"/>
        </w:rPr>
        <w:t>%；旅游总收入</w:t>
      </w:r>
      <w:r w:rsidR="0080507C" w:rsidRPr="0080507C">
        <w:rPr>
          <w:rFonts w:ascii="宋体" w:hAnsi="宋体" w:cs="宋体"/>
          <w:kern w:val="0"/>
          <w:sz w:val="28"/>
          <w:szCs w:val="28"/>
        </w:rPr>
        <w:t>18.69</w:t>
      </w:r>
      <w:r w:rsidRPr="0080507C">
        <w:rPr>
          <w:rFonts w:ascii="宋体" w:hAnsi="宋体" w:cs="宋体" w:hint="eastAsia"/>
          <w:kern w:val="0"/>
          <w:sz w:val="28"/>
          <w:szCs w:val="28"/>
          <w:lang w:val="zh-CN"/>
        </w:rPr>
        <w:t>亿元，比上年增长</w:t>
      </w:r>
      <w:r w:rsidR="0080507C" w:rsidRPr="0080507C">
        <w:rPr>
          <w:rFonts w:ascii="宋体" w:hAnsi="宋体" w:cs="宋体"/>
          <w:kern w:val="0"/>
          <w:sz w:val="28"/>
          <w:szCs w:val="28"/>
        </w:rPr>
        <w:t>20.86</w:t>
      </w:r>
      <w:r w:rsidRPr="0080507C">
        <w:rPr>
          <w:rFonts w:ascii="宋体" w:hAnsi="宋体" w:cs="宋体" w:hint="eastAsia"/>
          <w:kern w:val="0"/>
          <w:sz w:val="28"/>
          <w:szCs w:val="28"/>
          <w:lang w:val="zh-CN"/>
        </w:rPr>
        <w:t>%。</w:t>
      </w:r>
    </w:p>
    <w:p w:rsidR="00B21655" w:rsidRPr="00811765" w:rsidRDefault="00CE2F00" w:rsidP="00F75B44">
      <w:pPr>
        <w:widowControl/>
        <w:adjustRightInd w:val="0"/>
        <w:spacing w:before="360" w:after="360" w:line="500" w:lineRule="exact"/>
        <w:ind w:firstLineChars="200" w:firstLine="602"/>
        <w:rPr>
          <w:rFonts w:ascii="宋体" w:hAnsi="宋体" w:cs="宋体"/>
          <w:color w:val="000000"/>
          <w:kern w:val="0"/>
          <w:sz w:val="30"/>
          <w:szCs w:val="30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八</w:t>
      </w:r>
      <w:r w:rsidR="00B21655" w:rsidRPr="00811765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、金融</w:t>
      </w:r>
    </w:p>
    <w:p w:rsidR="00B21655" w:rsidRDefault="00B21655" w:rsidP="00F75B44">
      <w:pPr>
        <w:widowControl/>
        <w:spacing w:before="60" w:after="100" w:line="500" w:lineRule="exact"/>
        <w:ind w:firstLine="539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年末全县金融机构</w:t>
      </w:r>
      <w:r w:rsidR="00CB6EF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本外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币各项存款余额</w:t>
      </w:r>
      <w:r w:rsidR="00C34DBE">
        <w:rPr>
          <w:rFonts w:ascii="宋体" w:hAnsi="宋体" w:cs="宋体"/>
          <w:color w:val="000000"/>
          <w:kern w:val="0"/>
          <w:sz w:val="28"/>
          <w:szCs w:val="28"/>
        </w:rPr>
        <w:t>170.13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</w:t>
      </w:r>
      <w:r w:rsidR="00CE2F0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比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年初增加</w:t>
      </w:r>
      <w:r w:rsidR="00C34DBE">
        <w:rPr>
          <w:rFonts w:ascii="宋体" w:hAnsi="宋体" w:cs="宋体"/>
          <w:color w:val="000000"/>
          <w:kern w:val="0"/>
          <w:sz w:val="28"/>
          <w:szCs w:val="28"/>
        </w:rPr>
        <w:t>4.84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</w:t>
      </w:r>
      <w:r w:rsidR="00CE2F0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比年初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</w:t>
      </w:r>
      <w:r w:rsidR="00085291">
        <w:rPr>
          <w:rFonts w:ascii="宋体" w:hAnsi="宋体" w:cs="宋体"/>
          <w:color w:val="000000"/>
          <w:kern w:val="0"/>
          <w:sz w:val="28"/>
          <w:szCs w:val="28"/>
        </w:rPr>
        <w:t>2.9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%。其中</w:t>
      </w:r>
      <w:r w:rsidR="00CE2F0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居民储蓄存款余额</w:t>
      </w:r>
      <w:r w:rsidR="00B16BF4">
        <w:rPr>
          <w:rFonts w:ascii="宋体" w:hAnsi="宋体" w:cs="宋体"/>
          <w:color w:val="000000"/>
          <w:kern w:val="0"/>
          <w:sz w:val="28"/>
          <w:szCs w:val="28"/>
        </w:rPr>
        <w:t>120.58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 xml:space="preserve">亿元, </w:t>
      </w:r>
      <w:r w:rsidR="00CE2F0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比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年初增加</w:t>
      </w:r>
      <w:r w:rsidR="00B16BF4">
        <w:rPr>
          <w:rFonts w:ascii="宋体" w:hAnsi="宋体" w:cs="宋体"/>
          <w:color w:val="000000"/>
          <w:kern w:val="0"/>
          <w:sz w:val="28"/>
          <w:szCs w:val="28"/>
        </w:rPr>
        <w:t>14.53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亿元，增长</w:t>
      </w:r>
      <w:r w:rsidR="00C34DBE">
        <w:rPr>
          <w:rFonts w:ascii="宋体" w:hAnsi="宋体" w:cs="宋体"/>
          <w:color w:val="000000"/>
          <w:kern w:val="0"/>
          <w:sz w:val="28"/>
          <w:szCs w:val="28"/>
        </w:rPr>
        <w:t>2.9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%。各项贷款余额为</w:t>
      </w:r>
      <w:r w:rsidR="00C34DBE">
        <w:rPr>
          <w:rFonts w:ascii="宋体" w:hAnsi="宋体" w:cs="宋体"/>
          <w:color w:val="000000"/>
          <w:kern w:val="0"/>
          <w:sz w:val="28"/>
          <w:szCs w:val="28"/>
        </w:rPr>
        <w:t>75.17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</w:t>
      </w:r>
      <w:r w:rsidR="00CE2F0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比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年初</w:t>
      </w:r>
      <w:r w:rsidR="002519E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增加</w:t>
      </w:r>
      <w:r w:rsidR="00C34DBE">
        <w:rPr>
          <w:rFonts w:ascii="宋体" w:hAnsi="宋体" w:cs="宋体"/>
          <w:color w:val="000000"/>
          <w:kern w:val="0"/>
          <w:sz w:val="28"/>
          <w:szCs w:val="28"/>
          <w:lang w:val="zh-CN"/>
        </w:rPr>
        <w:t>5.57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亿元，</w:t>
      </w:r>
      <w:r w:rsidR="002519E7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增长</w:t>
      </w:r>
      <w:r w:rsidR="00C34DBE">
        <w:rPr>
          <w:rFonts w:ascii="宋体" w:hAnsi="宋体" w:cs="宋体"/>
          <w:color w:val="000000"/>
          <w:kern w:val="0"/>
          <w:sz w:val="28"/>
          <w:szCs w:val="28"/>
          <w:lang w:val="zh-CN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77"/>
        <w:gridCol w:w="1918"/>
        <w:gridCol w:w="2194"/>
      </w:tblGrid>
      <w:tr w:rsidR="00B21655" w:rsidTr="000135EA">
        <w:trPr>
          <w:trHeight w:val="637"/>
          <w:jc w:val="center"/>
        </w:trPr>
        <w:tc>
          <w:tcPr>
            <w:tcW w:w="69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B21655" w:rsidRDefault="00B21655" w:rsidP="000B3ADA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lastRenderedPageBreak/>
              <w:t>表</w:t>
            </w:r>
            <w:r w:rsidR="000B3ADA">
              <w:rPr>
                <w:rFonts w:ascii="黑体" w:eastAsia="黑体" w:hAnsi="宋体" w:cs="宋体"/>
                <w:bCs/>
                <w:color w:val="000000"/>
                <w:kern w:val="0"/>
                <w:sz w:val="24"/>
                <w:lang w:val="zh-CN"/>
              </w:rPr>
              <w:t>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t xml:space="preserve">   201</w:t>
            </w:r>
            <w:r w:rsidR="000B3ADA"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t>年金融机构</w:t>
            </w:r>
            <w:r w:rsidR="002E1E8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t>本外币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lang w:val="zh-CN"/>
              </w:rPr>
              <w:t>存贷款及其增长速度</w:t>
            </w:r>
          </w:p>
        </w:tc>
      </w:tr>
      <w:tr w:rsidR="00B21655" w:rsidTr="000135EA">
        <w:trPr>
          <w:trHeight w:val="614"/>
          <w:jc w:val="center"/>
        </w:trPr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55" w:rsidRPr="00B03BEC" w:rsidRDefault="00B21655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指 标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55" w:rsidRPr="00B03BEC" w:rsidRDefault="00B21655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年末数（亿元）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655" w:rsidRPr="00B03BEC" w:rsidRDefault="00B21655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比年初增长（％）</w:t>
            </w:r>
          </w:p>
        </w:tc>
      </w:tr>
      <w:tr w:rsidR="00B21655" w:rsidTr="000135EA">
        <w:trPr>
          <w:trHeight w:val="567"/>
          <w:jc w:val="center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1655" w:rsidRPr="00B03BEC" w:rsidRDefault="00B21655" w:rsidP="00B04EBD">
            <w:pPr>
              <w:widowControl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各项存款余额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170.13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2.9</w:t>
            </w:r>
          </w:p>
        </w:tc>
      </w:tr>
      <w:tr w:rsidR="00B21655" w:rsidTr="000135EA">
        <w:trPr>
          <w:trHeight w:val="508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64A2" w:rsidRPr="00B03BEC" w:rsidRDefault="00B21655" w:rsidP="00B04EBD">
            <w:pPr>
              <w:widowControl/>
              <w:adjustRightInd w:val="0"/>
              <w:spacing w:line="400" w:lineRule="exact"/>
              <w:ind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其中：</w:t>
            </w:r>
            <w:r w:rsidR="008D64A2"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住户存款</w:t>
            </w:r>
          </w:p>
          <w:p w:rsidR="00B21655" w:rsidRPr="00B03BEC" w:rsidRDefault="008D64A2" w:rsidP="008D64A2">
            <w:pPr>
              <w:widowControl/>
              <w:adjustRightInd w:val="0"/>
              <w:spacing w:line="400" w:lineRule="exact"/>
              <w:ind w:firstLineChars="4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非金融企业</w:t>
            </w:r>
            <w:r w:rsidR="00B21655"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存款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4A2" w:rsidRPr="00B03BEC" w:rsidRDefault="008D64A2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133.97</w:t>
            </w:r>
          </w:p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20.80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A2" w:rsidRPr="00B03BEC" w:rsidRDefault="008D64A2" w:rsidP="00D618E7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11.1</w:t>
            </w:r>
          </w:p>
          <w:p w:rsidR="00B21655" w:rsidRPr="00B03BEC" w:rsidRDefault="00431229" w:rsidP="00D618E7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 w:rsidR="00D618E7"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25.4</w:t>
            </w:r>
          </w:p>
        </w:tc>
      </w:tr>
      <w:tr w:rsidR="00B21655" w:rsidTr="000135EA">
        <w:trPr>
          <w:trHeight w:val="633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1655" w:rsidRPr="00B03BEC" w:rsidRDefault="00B21655" w:rsidP="00B04EBD">
            <w:pPr>
              <w:widowControl/>
              <w:adjustRightInd w:val="0"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各项贷款余额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75.17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8.0</w:t>
            </w:r>
          </w:p>
        </w:tc>
      </w:tr>
      <w:tr w:rsidR="00B21655" w:rsidTr="000135EA">
        <w:trPr>
          <w:trHeight w:val="459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1655" w:rsidRPr="00B03BEC" w:rsidRDefault="00B21655" w:rsidP="00B04EBD">
            <w:pPr>
              <w:widowControl/>
              <w:adjustRightInd w:val="0"/>
              <w:spacing w:line="40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其中：短期贷款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33.50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55" w:rsidRPr="00B03BEC" w:rsidRDefault="00D618E7" w:rsidP="00D618E7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-16.0</w:t>
            </w:r>
          </w:p>
        </w:tc>
      </w:tr>
      <w:tr w:rsidR="00B21655" w:rsidTr="000135EA">
        <w:trPr>
          <w:trHeight w:val="686"/>
          <w:jc w:val="center"/>
        </w:trPr>
        <w:tc>
          <w:tcPr>
            <w:tcW w:w="2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55" w:rsidRPr="00B03BEC" w:rsidRDefault="00B21655" w:rsidP="00B04EBD">
            <w:pPr>
              <w:widowControl/>
              <w:adjustRightInd w:val="0"/>
              <w:spacing w:line="40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B03BEC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 xml:space="preserve">      中长期贷款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37.38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1655" w:rsidRPr="00B03BEC" w:rsidRDefault="00D618E7" w:rsidP="00B04EBD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BEC">
              <w:rPr>
                <w:rFonts w:ascii="仿宋" w:eastAsia="仿宋" w:hAnsi="仿宋" w:cs="宋体"/>
                <w:color w:val="000000"/>
                <w:kern w:val="0"/>
                <w:sz w:val="24"/>
              </w:rPr>
              <w:t>30.7</w:t>
            </w:r>
          </w:p>
        </w:tc>
      </w:tr>
    </w:tbl>
    <w:p w:rsidR="00B21655" w:rsidRPr="00417A7E" w:rsidRDefault="001C3B68" w:rsidP="001C3B68">
      <w:pPr>
        <w:widowControl/>
        <w:adjustRightInd w:val="0"/>
        <w:spacing w:before="360" w:after="360" w:line="500" w:lineRule="exact"/>
        <w:ind w:firstLineChars="200" w:firstLine="602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九</w:t>
      </w:r>
      <w:r w:rsidR="00B21655" w:rsidRPr="00417A7E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、教育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和科学</w:t>
      </w:r>
      <w:r w:rsidR="00B21655" w:rsidRPr="00417A7E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val="zh-CN"/>
        </w:rPr>
        <w:t>科技</w:t>
      </w:r>
    </w:p>
    <w:p w:rsidR="00B21655" w:rsidRDefault="00B21655">
      <w:pPr>
        <w:widowControl/>
        <w:adjustRightInd w:val="0"/>
        <w:spacing w:before="100" w:after="100"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年</w:t>
      </w:r>
      <w:r w:rsidR="008527E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末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全县共有</w:t>
      </w:r>
      <w:r w:rsidR="008527E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幼儿园</w:t>
      </w:r>
      <w:r w:rsidR="008527EF">
        <w:rPr>
          <w:rFonts w:ascii="宋体" w:hAnsi="宋体" w:cs="宋体"/>
          <w:color w:val="000000"/>
          <w:kern w:val="0"/>
          <w:sz w:val="28"/>
          <w:szCs w:val="28"/>
          <w:lang w:val="zh-CN"/>
        </w:rPr>
        <w:t>60</w:t>
      </w:r>
      <w:r w:rsidR="008527E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所，小学</w:t>
      </w:r>
      <w:r w:rsidR="008527EF">
        <w:rPr>
          <w:rFonts w:ascii="宋体" w:hAnsi="宋体" w:cs="宋体"/>
          <w:color w:val="000000"/>
          <w:kern w:val="0"/>
          <w:sz w:val="28"/>
          <w:szCs w:val="28"/>
          <w:lang w:val="zh-CN"/>
        </w:rPr>
        <w:t>28</w:t>
      </w:r>
      <w:r w:rsidR="008527E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所，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普通</w:t>
      </w:r>
      <w:r w:rsidR="008527E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初中</w:t>
      </w:r>
      <w:r w:rsidR="008527EF">
        <w:rPr>
          <w:rFonts w:ascii="宋体" w:hAnsi="宋体" w:cs="宋体"/>
          <w:color w:val="000000"/>
          <w:kern w:val="0"/>
          <w:sz w:val="28"/>
          <w:szCs w:val="28"/>
          <w:lang w:val="zh-CN"/>
        </w:rPr>
        <w:t>13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所，</w:t>
      </w:r>
      <w:r w:rsidR="008527E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普通高中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 xml:space="preserve">所, </w:t>
      </w:r>
      <w:r w:rsidR="008527EF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中等职业教育学校1所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。</w:t>
      </w:r>
    </w:p>
    <w:p w:rsidR="00B21655" w:rsidRDefault="00B21655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表</w:t>
      </w:r>
      <w:r w:rsidR="000B3ADA">
        <w:rPr>
          <w:rFonts w:ascii="黑体" w:eastAsia="黑体" w:hAnsi="宋体" w:cs="宋体"/>
          <w:color w:val="000000"/>
          <w:kern w:val="0"/>
          <w:sz w:val="24"/>
        </w:rPr>
        <w:t>6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 xml:space="preserve">  201</w:t>
      </w:r>
      <w:r w:rsidR="008527EF">
        <w:rPr>
          <w:rFonts w:ascii="黑体" w:eastAsia="黑体" w:hAnsi="宋体" w:cs="宋体"/>
          <w:color w:val="000000"/>
          <w:kern w:val="0"/>
          <w:sz w:val="24"/>
        </w:rPr>
        <w:t>9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年各类</w:t>
      </w:r>
      <w:r w:rsidR="00DE5766">
        <w:rPr>
          <w:rFonts w:ascii="黑体" w:eastAsia="黑体" w:hAnsi="宋体" w:cs="宋体" w:hint="eastAsia"/>
          <w:color w:val="000000"/>
          <w:kern w:val="0"/>
          <w:sz w:val="24"/>
        </w:rPr>
        <w:t>教育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发展情况</w:t>
      </w:r>
    </w:p>
    <w:tbl>
      <w:tblPr>
        <w:tblStyle w:val="a8"/>
        <w:tblW w:w="850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993"/>
        <w:gridCol w:w="1275"/>
        <w:gridCol w:w="993"/>
        <w:gridCol w:w="1275"/>
      </w:tblGrid>
      <w:tr w:rsidR="00E264A5" w:rsidTr="00B03BEC">
        <w:trPr>
          <w:trHeight w:val="795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F41555" w:rsidRDefault="00F4155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576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  标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41555" w:rsidRDefault="00F4155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576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41555" w:rsidRDefault="00F4155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比上年增长（%）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555" w:rsidRDefault="00F4155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576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在校生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4155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比上年增长（%）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4155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毕业生（人）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4155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比上年增长（%）</w:t>
            </w:r>
          </w:p>
        </w:tc>
      </w:tr>
      <w:tr w:rsidR="00E264A5" w:rsidTr="00B03BEC">
        <w:trPr>
          <w:trHeight w:val="3825"/>
        </w:trPr>
        <w:tc>
          <w:tcPr>
            <w:tcW w:w="1696" w:type="dxa"/>
            <w:tcBorders>
              <w:bottom w:val="single" w:sz="12" w:space="0" w:color="auto"/>
            </w:tcBorders>
          </w:tcPr>
          <w:p w:rsidR="00F41555" w:rsidRP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264A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中等职业教育</w:t>
            </w:r>
          </w:p>
          <w:p w:rsidR="00E264A5" w:rsidRP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64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普通高中</w:t>
            </w:r>
          </w:p>
          <w:p w:rsidR="00E264A5" w:rsidRP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64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  <w:p w:rsidR="00E264A5" w:rsidRP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64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  <w:p w:rsidR="00E264A5" w:rsidRP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64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特殊教育学校</w:t>
            </w:r>
          </w:p>
          <w:p w:rsidR="00E264A5" w:rsidRP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64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4155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22</w:t>
            </w:r>
          </w:p>
          <w:p w:rsid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1000</w:t>
            </w:r>
          </w:p>
          <w:p w:rsid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841</w:t>
            </w:r>
          </w:p>
          <w:p w:rsid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646</w:t>
            </w:r>
          </w:p>
          <w:p w:rsidR="00E264A5" w:rsidRDefault="00DC54C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  <w:p w:rsidR="00E264A5" w:rsidRPr="00E264A5" w:rsidRDefault="00DE4D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41555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.5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-2.2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7.5</w:t>
            </w:r>
          </w:p>
          <w:p w:rsidR="00DC54C0" w:rsidRDefault="00DE4D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</w:p>
          <w:p w:rsidR="00DC54C0" w:rsidRPr="00E264A5" w:rsidRDefault="00DE4D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F4155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81</w:t>
            </w:r>
          </w:p>
          <w:p w:rsid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010</w:t>
            </w:r>
          </w:p>
          <w:p w:rsid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691</w:t>
            </w:r>
          </w:p>
          <w:p w:rsidR="00E264A5" w:rsidRDefault="00DC54C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0185</w:t>
            </w:r>
          </w:p>
          <w:p w:rsidR="00E264A5" w:rsidRDefault="00DC54C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  <w:p w:rsidR="00E264A5" w:rsidRPr="00E264A5" w:rsidRDefault="00DC54C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41555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4.6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1.4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.8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3.4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2.2</w:t>
            </w:r>
          </w:p>
          <w:p w:rsidR="00DC54C0" w:rsidRPr="00E264A5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1.7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4155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58</w:t>
            </w:r>
          </w:p>
          <w:p w:rsid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041</w:t>
            </w:r>
          </w:p>
          <w:p w:rsidR="00E264A5" w:rsidRDefault="00E264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690</w:t>
            </w:r>
          </w:p>
          <w:p w:rsidR="00E264A5" w:rsidRDefault="00DC54C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953</w:t>
            </w:r>
          </w:p>
          <w:p w:rsidR="00E264A5" w:rsidRDefault="00DC54C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  <w:p w:rsidR="00E264A5" w:rsidRPr="00E264A5" w:rsidRDefault="00DE4D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41555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10.1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0.8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4.0</w:t>
            </w:r>
          </w:p>
          <w:p w:rsidR="00DC54C0" w:rsidRDefault="0015358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0.7</w:t>
            </w:r>
          </w:p>
          <w:p w:rsidR="00DC54C0" w:rsidRDefault="00DE4D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</w:p>
          <w:p w:rsidR="00DC54C0" w:rsidRPr="00E264A5" w:rsidRDefault="00DE4DB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</w:p>
        </w:tc>
      </w:tr>
    </w:tbl>
    <w:p w:rsidR="000135EA" w:rsidRDefault="000135EA">
      <w:pPr>
        <w:widowControl/>
        <w:adjustRightInd w:val="0"/>
        <w:spacing w:before="100" w:line="500" w:lineRule="exact"/>
        <w:ind w:firstLineChars="200" w:firstLine="560"/>
        <w:rPr>
          <w:rFonts w:ascii="宋体" w:hAnsi="宋体" w:cs="宋体"/>
          <w:kern w:val="0"/>
          <w:sz w:val="28"/>
          <w:szCs w:val="28"/>
          <w:lang w:val="zh-CN"/>
        </w:rPr>
      </w:pPr>
    </w:p>
    <w:p w:rsidR="000135EA" w:rsidRDefault="000135EA">
      <w:pPr>
        <w:widowControl/>
        <w:adjustRightInd w:val="0"/>
        <w:spacing w:before="100" w:line="500" w:lineRule="exact"/>
        <w:ind w:firstLineChars="200" w:firstLine="560"/>
        <w:rPr>
          <w:rFonts w:ascii="宋体" w:hAnsi="宋体" w:cs="宋体"/>
          <w:kern w:val="0"/>
          <w:sz w:val="28"/>
          <w:szCs w:val="28"/>
          <w:lang w:val="zh-CN"/>
        </w:rPr>
      </w:pPr>
    </w:p>
    <w:p w:rsidR="00B21655" w:rsidRPr="007E2B75" w:rsidRDefault="006B035C">
      <w:pPr>
        <w:widowControl/>
        <w:adjustRightInd w:val="0"/>
        <w:spacing w:before="100" w:line="500" w:lineRule="exact"/>
        <w:ind w:firstLineChars="200" w:firstLine="560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全年</w:t>
      </w:r>
      <w:r w:rsidR="001C3B68">
        <w:rPr>
          <w:rFonts w:ascii="宋体" w:hAnsi="宋体" w:cs="宋体" w:hint="eastAsia"/>
          <w:kern w:val="0"/>
          <w:sz w:val="28"/>
          <w:szCs w:val="28"/>
          <w:lang w:val="zh-CN"/>
        </w:rPr>
        <w:t>全县</w:t>
      </w:r>
      <w:r w:rsidR="00B21655" w:rsidRPr="007E2B75">
        <w:rPr>
          <w:rFonts w:ascii="宋体" w:hAnsi="宋体" w:cs="宋体" w:hint="eastAsia"/>
          <w:kern w:val="0"/>
          <w:sz w:val="28"/>
          <w:szCs w:val="28"/>
          <w:lang w:val="zh-CN"/>
        </w:rPr>
        <w:t>专利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申请</w:t>
      </w:r>
      <w:r w:rsidR="003031DC">
        <w:rPr>
          <w:rFonts w:ascii="宋体" w:hAnsi="宋体" w:cs="宋体"/>
          <w:kern w:val="0"/>
          <w:sz w:val="28"/>
          <w:szCs w:val="28"/>
        </w:rPr>
        <w:t>79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件，其中发明3件；专利授权5</w:t>
      </w:r>
      <w:r>
        <w:rPr>
          <w:rFonts w:ascii="宋体" w:hAnsi="宋体" w:cs="宋体"/>
          <w:kern w:val="0"/>
          <w:sz w:val="28"/>
          <w:szCs w:val="28"/>
          <w:lang w:val="zh-CN"/>
        </w:rPr>
        <w:t>5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件，其中发明5件</w:t>
      </w:r>
      <w:r w:rsidR="00B21655" w:rsidRPr="007E2B75">
        <w:rPr>
          <w:rFonts w:ascii="宋体" w:hAnsi="宋体" w:cs="宋体" w:hint="eastAsia"/>
          <w:kern w:val="0"/>
          <w:sz w:val="28"/>
          <w:szCs w:val="28"/>
          <w:lang w:val="zh-CN"/>
        </w:rPr>
        <w:t>。</w:t>
      </w:r>
    </w:p>
    <w:p w:rsidR="001C3B68" w:rsidRDefault="001C3B68">
      <w:pPr>
        <w:widowControl/>
        <w:adjustRightInd w:val="0"/>
        <w:spacing w:before="100" w:line="50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  <w:lang w:val="zh-CN"/>
        </w:rPr>
      </w:pPr>
      <w:r>
        <w:rPr>
          <w:rFonts w:ascii="宋体" w:hAnsi="宋体" w:cs="宋体"/>
          <w:b/>
          <w:kern w:val="0"/>
          <w:sz w:val="28"/>
          <w:szCs w:val="28"/>
          <w:lang w:val="zh-CN"/>
        </w:rPr>
        <w:t>十、卫生健康和体育</w:t>
      </w:r>
    </w:p>
    <w:p w:rsidR="001C3B68" w:rsidRDefault="00B21655" w:rsidP="001C3B68">
      <w:pPr>
        <w:widowControl/>
        <w:adjustRightInd w:val="0"/>
        <w:spacing w:before="100" w:line="500" w:lineRule="exact"/>
        <w:ind w:firstLineChars="200" w:firstLine="560"/>
        <w:rPr>
          <w:rFonts w:ascii="宋体" w:hAnsi="宋体" w:cs="宋体"/>
          <w:kern w:val="0"/>
          <w:sz w:val="28"/>
          <w:szCs w:val="28"/>
          <w:lang w:val="zh-CN"/>
        </w:rPr>
      </w:pP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年末全县共有医院和卫生院2</w:t>
      </w:r>
      <w:r w:rsidR="0068044B" w:rsidRPr="002A7DFC">
        <w:rPr>
          <w:rFonts w:ascii="宋体" w:hAnsi="宋体" w:cs="宋体" w:hint="eastAsia"/>
          <w:kern w:val="0"/>
          <w:sz w:val="28"/>
          <w:szCs w:val="28"/>
        </w:rPr>
        <w:t>7</w:t>
      </w: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个，全县拥有床位</w:t>
      </w:r>
      <w:r w:rsidR="00487C9F">
        <w:rPr>
          <w:rFonts w:ascii="宋体" w:hAnsi="宋体" w:cs="宋体"/>
          <w:kern w:val="0"/>
          <w:sz w:val="28"/>
          <w:szCs w:val="28"/>
        </w:rPr>
        <w:t>1001</w:t>
      </w: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 xml:space="preserve"> 张，卫生技术人员</w:t>
      </w:r>
      <w:r w:rsidR="00C95CAB">
        <w:rPr>
          <w:rFonts w:ascii="宋体" w:hAnsi="宋体" w:cs="宋体"/>
          <w:kern w:val="0"/>
          <w:sz w:val="28"/>
          <w:szCs w:val="28"/>
        </w:rPr>
        <w:t>1392</w:t>
      </w: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人。</w:t>
      </w:r>
    </w:p>
    <w:p w:rsidR="00B21655" w:rsidRPr="00A4058D" w:rsidRDefault="001C3B68" w:rsidP="001C3B68">
      <w:pPr>
        <w:widowControl/>
        <w:adjustRightInd w:val="0"/>
        <w:spacing w:before="100" w:line="500" w:lineRule="exact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 w:rsidRPr="001C3B68">
        <w:rPr>
          <w:rFonts w:hint="eastAsia"/>
          <w:sz w:val="28"/>
          <w:szCs w:val="28"/>
          <w:shd w:val="solid" w:color="FFFFFF" w:fill="auto"/>
        </w:rPr>
        <w:t>年末</w:t>
      </w:r>
      <w:r w:rsidR="00E14756" w:rsidRPr="00E14756">
        <w:rPr>
          <w:rFonts w:hint="eastAsia"/>
          <w:sz w:val="28"/>
          <w:szCs w:val="28"/>
          <w:shd w:val="solid" w:color="FFFFFF" w:fill="auto"/>
        </w:rPr>
        <w:t>全县有</w:t>
      </w:r>
      <w:r w:rsidR="00E14756">
        <w:rPr>
          <w:rFonts w:asciiTheme="minorEastAsia" w:eastAsiaTheme="minorEastAsia" w:hAnsiTheme="minorEastAsia" w:cs="楷体_GB2312" w:hint="eastAsia"/>
          <w:sz w:val="28"/>
          <w:szCs w:val="28"/>
        </w:rPr>
        <w:t>篮球场1</w:t>
      </w:r>
      <w:r w:rsidR="00E14756">
        <w:rPr>
          <w:rFonts w:asciiTheme="minorEastAsia" w:eastAsiaTheme="minorEastAsia" w:hAnsiTheme="minorEastAsia" w:cs="楷体_GB2312"/>
          <w:sz w:val="28"/>
          <w:szCs w:val="28"/>
        </w:rPr>
        <w:t>29</w:t>
      </w:r>
      <w:r w:rsidR="00E14756">
        <w:rPr>
          <w:rFonts w:asciiTheme="minorEastAsia" w:eastAsiaTheme="minorEastAsia" w:hAnsiTheme="minorEastAsia" w:cs="楷体_GB2312" w:hint="eastAsia"/>
          <w:sz w:val="28"/>
          <w:szCs w:val="28"/>
        </w:rPr>
        <w:t>个、乒乓球场地4</w:t>
      </w:r>
      <w:r w:rsidR="00E14756">
        <w:rPr>
          <w:rFonts w:asciiTheme="minorEastAsia" w:eastAsiaTheme="minorEastAsia" w:hAnsiTheme="minorEastAsia" w:cs="楷体_GB2312"/>
          <w:sz w:val="28"/>
          <w:szCs w:val="28"/>
        </w:rPr>
        <w:t>5</w:t>
      </w:r>
      <w:r w:rsidR="00E14756">
        <w:rPr>
          <w:rFonts w:asciiTheme="minorEastAsia" w:eastAsiaTheme="minorEastAsia" w:hAnsiTheme="minorEastAsia" w:cs="楷体_GB2312" w:hint="eastAsia"/>
          <w:sz w:val="28"/>
          <w:szCs w:val="28"/>
        </w:rPr>
        <w:t>个、田径场7个、</w:t>
      </w:r>
      <w:r w:rsidR="00AB4B8F" w:rsidRPr="00AB4B8F">
        <w:rPr>
          <w:rFonts w:asciiTheme="minorEastAsia" w:eastAsiaTheme="minorEastAsia" w:hAnsiTheme="minorEastAsia" w:cs="楷体_GB2312" w:hint="eastAsia"/>
          <w:sz w:val="28"/>
          <w:szCs w:val="28"/>
        </w:rPr>
        <w:t>健身路径 2</w:t>
      </w:r>
      <w:r w:rsidR="00E14756">
        <w:rPr>
          <w:rFonts w:asciiTheme="minorEastAsia" w:eastAsiaTheme="minorEastAsia" w:hAnsiTheme="minorEastAsia" w:cs="楷体_GB2312"/>
          <w:sz w:val="28"/>
          <w:szCs w:val="28"/>
        </w:rPr>
        <w:t>93</w:t>
      </w:r>
      <w:r w:rsidR="00AB4B8F" w:rsidRPr="00AB4B8F">
        <w:rPr>
          <w:rFonts w:asciiTheme="minorEastAsia" w:eastAsiaTheme="minorEastAsia" w:hAnsiTheme="minorEastAsia" w:cs="楷体_GB2312" w:hint="eastAsia"/>
          <w:sz w:val="28"/>
          <w:szCs w:val="28"/>
        </w:rPr>
        <w:t>条</w:t>
      </w:r>
      <w:r w:rsidR="00E14756">
        <w:rPr>
          <w:rFonts w:asciiTheme="minorEastAsia" w:eastAsiaTheme="minorEastAsia" w:hAnsiTheme="minorEastAsia" w:cs="楷体_GB2312" w:hint="eastAsia"/>
          <w:sz w:val="28"/>
          <w:szCs w:val="28"/>
        </w:rPr>
        <w:t>，全年经常参加体育锻炼人数7万人</w:t>
      </w:r>
      <w:r w:rsidR="00AB4B8F" w:rsidRPr="00AB4B8F">
        <w:rPr>
          <w:rFonts w:asciiTheme="minorEastAsia" w:eastAsiaTheme="minorEastAsia" w:hAnsiTheme="minorEastAsia" w:cs="楷体_GB2312" w:hint="eastAsia"/>
          <w:sz w:val="28"/>
          <w:szCs w:val="28"/>
        </w:rPr>
        <w:t>。</w:t>
      </w:r>
      <w:r w:rsidR="00E14756">
        <w:rPr>
          <w:rFonts w:asciiTheme="minorEastAsia" w:eastAsiaTheme="minorEastAsia" w:hAnsiTheme="minorEastAsia" w:cs="楷体_GB2312" w:hint="eastAsia"/>
          <w:sz w:val="28"/>
          <w:szCs w:val="28"/>
        </w:rPr>
        <w:t>全县</w:t>
      </w:r>
      <w:r w:rsidR="000D6BD8">
        <w:rPr>
          <w:rFonts w:asciiTheme="minorEastAsia" w:eastAsiaTheme="minorEastAsia" w:hAnsiTheme="minorEastAsia" w:cs="楷体_GB2312" w:hint="eastAsia"/>
          <w:sz w:val="28"/>
          <w:szCs w:val="28"/>
        </w:rPr>
        <w:t>销售中国体育彩票3</w:t>
      </w:r>
      <w:r w:rsidR="000D6BD8">
        <w:rPr>
          <w:rFonts w:asciiTheme="minorEastAsia" w:eastAsiaTheme="minorEastAsia" w:hAnsiTheme="minorEastAsia" w:cs="楷体_GB2312"/>
          <w:sz w:val="28"/>
          <w:szCs w:val="28"/>
        </w:rPr>
        <w:t>10</w:t>
      </w:r>
      <w:r w:rsidR="000D6BD8">
        <w:rPr>
          <w:rFonts w:asciiTheme="minorEastAsia" w:eastAsiaTheme="minorEastAsia" w:hAnsiTheme="minorEastAsia" w:cs="楷体_GB2312" w:hint="eastAsia"/>
          <w:sz w:val="28"/>
          <w:szCs w:val="28"/>
        </w:rPr>
        <w:t>万元，比上年下降7</w:t>
      </w:r>
      <w:r w:rsidR="000D6BD8">
        <w:rPr>
          <w:rFonts w:asciiTheme="minorEastAsia" w:eastAsiaTheme="minorEastAsia" w:hAnsiTheme="minorEastAsia" w:cs="楷体_GB2312"/>
          <w:sz w:val="28"/>
          <w:szCs w:val="28"/>
        </w:rPr>
        <w:t>.8%。</w:t>
      </w:r>
    </w:p>
    <w:p w:rsidR="00B21655" w:rsidRDefault="001C3B68" w:rsidP="001C3B68">
      <w:pPr>
        <w:widowControl/>
        <w:adjustRightInd w:val="0"/>
        <w:spacing w:before="360" w:after="360" w:line="500" w:lineRule="exact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十一</w:t>
      </w:r>
      <w:r w:rsidR="00B21655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居民收入</w:t>
      </w:r>
      <w:r w:rsidR="00B21655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和社会保障</w:t>
      </w:r>
    </w:p>
    <w:p w:rsidR="00B21655" w:rsidRDefault="00B21655">
      <w:pPr>
        <w:widowControl/>
        <w:adjustRightInd w:val="0"/>
        <w:spacing w:line="500" w:lineRule="exact"/>
        <w:ind w:firstLineChars="200" w:firstLine="560"/>
        <w:jc w:val="left"/>
        <w:rPr>
          <w:rFonts w:ascii="宋体" w:hAnsi="宋体" w:cs="宋体"/>
          <w:color w:val="0000FF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全年</w:t>
      </w:r>
      <w:r w:rsidR="001C3B68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全县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城镇居民人均可支配收入完成</w:t>
      </w:r>
      <w:r w:rsidR="008403CE">
        <w:rPr>
          <w:rFonts w:ascii="宋体" w:hAnsi="宋体" w:cs="宋体"/>
          <w:color w:val="000000"/>
          <w:kern w:val="0"/>
          <w:sz w:val="28"/>
          <w:szCs w:val="28"/>
        </w:rPr>
        <w:t>36865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元，比上年增长</w:t>
      </w:r>
      <w:r w:rsidR="008403CE">
        <w:rPr>
          <w:rFonts w:ascii="宋体" w:hAnsi="宋体" w:cs="宋体"/>
          <w:color w:val="000000"/>
          <w:kern w:val="0"/>
          <w:sz w:val="28"/>
          <w:szCs w:val="28"/>
        </w:rPr>
        <w:t>6.6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%；农村居民人均</w:t>
      </w:r>
      <w:r w:rsidR="00F9108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可支配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收入为</w:t>
      </w:r>
      <w:r w:rsidR="008403CE">
        <w:rPr>
          <w:rFonts w:ascii="宋体" w:hAnsi="宋体" w:cs="宋体"/>
          <w:color w:val="000000"/>
          <w:kern w:val="0"/>
          <w:sz w:val="28"/>
          <w:szCs w:val="28"/>
        </w:rPr>
        <w:t>15040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元,比上年增长</w:t>
      </w:r>
      <w:r w:rsidR="008403CE">
        <w:rPr>
          <w:rFonts w:ascii="宋体" w:hAnsi="宋体" w:cs="宋体"/>
          <w:color w:val="000000"/>
          <w:kern w:val="0"/>
          <w:sz w:val="28"/>
          <w:szCs w:val="28"/>
          <w:lang w:val="zh-CN"/>
        </w:rPr>
        <w:t>10.2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%。</w:t>
      </w:r>
    </w:p>
    <w:p w:rsidR="000135EA" w:rsidRDefault="000135EA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</w:p>
    <w:p w:rsidR="00B21655" w:rsidRDefault="00F2505B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372745</wp:posOffset>
            </wp:positionV>
            <wp:extent cx="5373370" cy="2781300"/>
            <wp:effectExtent l="0" t="0" r="0" b="0"/>
            <wp:wrapTopAndBottom/>
            <wp:docPr id="5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55">
        <w:rPr>
          <w:rFonts w:ascii="黑体" w:eastAsia="黑体" w:hAnsi="宋体" w:cs="宋体" w:hint="eastAsia"/>
          <w:kern w:val="0"/>
          <w:sz w:val="24"/>
        </w:rPr>
        <w:t>图</w:t>
      </w:r>
      <w:r w:rsidR="000B3ADA">
        <w:rPr>
          <w:rFonts w:ascii="黑体" w:eastAsia="黑体" w:hAnsi="宋体" w:cs="宋体"/>
          <w:kern w:val="0"/>
          <w:sz w:val="24"/>
        </w:rPr>
        <w:t>6</w:t>
      </w:r>
      <w:r w:rsidR="00B21655">
        <w:rPr>
          <w:rFonts w:ascii="黑体" w:eastAsia="黑体" w:hAnsi="宋体" w:cs="宋体" w:hint="eastAsia"/>
          <w:kern w:val="0"/>
          <w:sz w:val="24"/>
        </w:rPr>
        <w:t xml:space="preserve"> 20</w:t>
      </w:r>
      <w:r w:rsidR="0095317B">
        <w:rPr>
          <w:rFonts w:ascii="黑体" w:eastAsia="黑体" w:hAnsi="宋体" w:cs="宋体" w:hint="eastAsia"/>
          <w:kern w:val="0"/>
          <w:sz w:val="24"/>
        </w:rPr>
        <w:t>1</w:t>
      </w:r>
      <w:r w:rsidR="008403CE">
        <w:rPr>
          <w:rFonts w:ascii="黑体" w:eastAsia="黑体" w:hAnsi="宋体" w:cs="宋体"/>
          <w:kern w:val="0"/>
          <w:sz w:val="24"/>
        </w:rPr>
        <w:t>5</w:t>
      </w:r>
      <w:r w:rsidR="00B21655">
        <w:rPr>
          <w:rFonts w:ascii="黑体" w:eastAsia="黑体" w:hAnsi="宋体" w:cs="宋体" w:hint="eastAsia"/>
          <w:kern w:val="0"/>
          <w:sz w:val="24"/>
        </w:rPr>
        <w:t>年—201</w:t>
      </w:r>
      <w:r w:rsidR="008403CE">
        <w:rPr>
          <w:rFonts w:ascii="黑体" w:eastAsia="黑体" w:hAnsi="宋体" w:cs="宋体"/>
          <w:kern w:val="0"/>
          <w:sz w:val="24"/>
        </w:rPr>
        <w:t>9</w:t>
      </w:r>
      <w:r w:rsidR="00B21655">
        <w:rPr>
          <w:rFonts w:ascii="黑体" w:eastAsia="黑体" w:hAnsi="宋体" w:cs="宋体" w:hint="eastAsia"/>
          <w:kern w:val="0"/>
          <w:sz w:val="24"/>
        </w:rPr>
        <w:t>年城镇居民人均可支配收入及其增长速度</w:t>
      </w:r>
    </w:p>
    <w:p w:rsidR="000135EA" w:rsidRDefault="000135EA">
      <w:pPr>
        <w:widowControl/>
        <w:adjustRightInd w:val="0"/>
        <w:spacing w:line="560" w:lineRule="exact"/>
        <w:ind w:firstLineChars="200" w:firstLine="480"/>
        <w:jc w:val="center"/>
        <w:rPr>
          <w:rFonts w:ascii="黑体" w:eastAsia="黑体" w:hAnsi="宋体" w:cs="宋体"/>
          <w:kern w:val="0"/>
          <w:sz w:val="24"/>
        </w:rPr>
      </w:pPr>
    </w:p>
    <w:p w:rsidR="000135EA" w:rsidRDefault="000135EA">
      <w:pPr>
        <w:widowControl/>
        <w:adjustRightInd w:val="0"/>
        <w:spacing w:line="560" w:lineRule="exact"/>
        <w:ind w:firstLineChars="200" w:firstLine="480"/>
        <w:jc w:val="center"/>
        <w:rPr>
          <w:rFonts w:ascii="黑体" w:eastAsia="黑体" w:hAnsi="宋体" w:cs="宋体"/>
          <w:kern w:val="0"/>
          <w:sz w:val="24"/>
        </w:rPr>
      </w:pPr>
    </w:p>
    <w:p w:rsidR="000135EA" w:rsidRDefault="000135EA">
      <w:pPr>
        <w:widowControl/>
        <w:adjustRightInd w:val="0"/>
        <w:spacing w:line="560" w:lineRule="exact"/>
        <w:ind w:firstLineChars="200" w:firstLine="480"/>
        <w:jc w:val="center"/>
        <w:rPr>
          <w:rFonts w:ascii="黑体" w:eastAsia="黑体" w:hAnsi="宋体" w:cs="宋体"/>
          <w:kern w:val="0"/>
          <w:sz w:val="24"/>
        </w:rPr>
      </w:pPr>
    </w:p>
    <w:p w:rsidR="00B21655" w:rsidRDefault="00B21655">
      <w:pPr>
        <w:widowControl/>
        <w:adjustRightInd w:val="0"/>
        <w:spacing w:line="560" w:lineRule="exact"/>
        <w:ind w:firstLineChars="200" w:firstLine="480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图</w:t>
      </w:r>
      <w:r w:rsidR="000B3ADA">
        <w:rPr>
          <w:rFonts w:ascii="黑体" w:eastAsia="黑体" w:hAnsi="宋体" w:cs="宋体"/>
          <w:kern w:val="0"/>
          <w:sz w:val="24"/>
        </w:rPr>
        <w:t>7</w:t>
      </w:r>
      <w:r>
        <w:rPr>
          <w:rFonts w:ascii="黑体" w:eastAsia="黑体" w:hAnsi="宋体" w:cs="宋体" w:hint="eastAsia"/>
          <w:kern w:val="0"/>
          <w:sz w:val="24"/>
        </w:rPr>
        <w:t xml:space="preserve"> 20</w:t>
      </w:r>
      <w:r w:rsidR="0095317B">
        <w:rPr>
          <w:rFonts w:ascii="黑体" w:eastAsia="黑体" w:hAnsi="宋体" w:cs="宋体" w:hint="eastAsia"/>
          <w:kern w:val="0"/>
          <w:sz w:val="24"/>
        </w:rPr>
        <w:t>1</w:t>
      </w:r>
      <w:r w:rsidR="008403CE">
        <w:rPr>
          <w:rFonts w:ascii="黑体" w:eastAsia="黑体" w:hAnsi="宋体" w:cs="宋体"/>
          <w:kern w:val="0"/>
          <w:sz w:val="24"/>
        </w:rPr>
        <w:t>5</w:t>
      </w:r>
      <w:r>
        <w:rPr>
          <w:rFonts w:ascii="黑体" w:eastAsia="黑体" w:hAnsi="宋体" w:cs="宋体" w:hint="eastAsia"/>
          <w:kern w:val="0"/>
          <w:sz w:val="24"/>
        </w:rPr>
        <w:t>年—201</w:t>
      </w:r>
      <w:r w:rsidR="008403CE">
        <w:rPr>
          <w:rFonts w:ascii="黑体" w:eastAsia="黑体" w:hAnsi="宋体" w:cs="宋体"/>
          <w:kern w:val="0"/>
          <w:sz w:val="24"/>
        </w:rPr>
        <w:t>9</w:t>
      </w:r>
      <w:r>
        <w:rPr>
          <w:rFonts w:ascii="黑体" w:eastAsia="黑体" w:hAnsi="宋体" w:cs="宋体" w:hint="eastAsia"/>
          <w:kern w:val="0"/>
          <w:sz w:val="24"/>
        </w:rPr>
        <w:t>年农</w:t>
      </w:r>
      <w:r w:rsidR="003C739E">
        <w:rPr>
          <w:rFonts w:ascii="黑体" w:eastAsia="黑体" w:hAnsi="宋体" w:cs="宋体" w:hint="eastAsia"/>
          <w:kern w:val="0"/>
          <w:sz w:val="24"/>
        </w:rPr>
        <w:t>村居</w:t>
      </w:r>
      <w:r>
        <w:rPr>
          <w:rFonts w:ascii="黑体" w:eastAsia="黑体" w:hAnsi="宋体" w:cs="宋体" w:hint="eastAsia"/>
          <w:kern w:val="0"/>
          <w:sz w:val="24"/>
        </w:rPr>
        <w:t>民人均</w:t>
      </w:r>
      <w:r w:rsidR="0095317B">
        <w:rPr>
          <w:rFonts w:ascii="黑体" w:eastAsia="黑体" w:hAnsi="宋体" w:cs="宋体" w:hint="eastAsia"/>
          <w:kern w:val="0"/>
          <w:sz w:val="24"/>
        </w:rPr>
        <w:t>可支配收入</w:t>
      </w:r>
      <w:r>
        <w:rPr>
          <w:rFonts w:ascii="黑体" w:eastAsia="黑体" w:hAnsi="宋体" w:cs="宋体" w:hint="eastAsia"/>
          <w:kern w:val="0"/>
          <w:sz w:val="24"/>
        </w:rPr>
        <w:t>及其增长速度</w:t>
      </w:r>
    </w:p>
    <w:p w:rsidR="00B21655" w:rsidRPr="005B7209" w:rsidRDefault="00F2505B" w:rsidP="00B04EBD">
      <w:pPr>
        <w:widowControl/>
        <w:adjustRightInd w:val="0"/>
        <w:spacing w:line="560" w:lineRule="exact"/>
        <w:ind w:firstLineChars="200" w:firstLine="56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337820</wp:posOffset>
            </wp:positionV>
            <wp:extent cx="5476875" cy="2705100"/>
            <wp:effectExtent l="0" t="0" r="0" b="0"/>
            <wp:wrapTopAndBottom/>
            <wp:docPr id="6" name="对象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55" w:rsidRPr="00C33102">
        <w:rPr>
          <w:rFonts w:ascii="宋体" w:hAnsi="宋体" w:cs="宋体" w:hint="eastAsia"/>
          <w:color w:val="000000"/>
          <w:kern w:val="0"/>
          <w:sz w:val="28"/>
          <w:szCs w:val="28"/>
        </w:rPr>
        <w:t>年末全县参加城镇基本养老保险职工数为</w:t>
      </w:r>
      <w:r w:rsidR="00792127">
        <w:rPr>
          <w:rFonts w:ascii="宋体" w:hAnsi="宋体" w:cs="宋体"/>
          <w:color w:val="000000"/>
          <w:kern w:val="0"/>
          <w:sz w:val="28"/>
          <w:szCs w:val="28"/>
        </w:rPr>
        <w:t>3.</w:t>
      </w:r>
      <w:r w:rsidR="00A12776">
        <w:rPr>
          <w:rFonts w:ascii="宋体" w:hAnsi="宋体" w:cs="宋体"/>
          <w:color w:val="000000"/>
          <w:kern w:val="0"/>
          <w:sz w:val="28"/>
          <w:szCs w:val="28"/>
        </w:rPr>
        <w:t>23</w:t>
      </w:r>
      <w:r w:rsidR="003207D9" w:rsidRPr="00C33102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B21655" w:rsidRPr="00C33102">
        <w:rPr>
          <w:rFonts w:ascii="宋体" w:hAnsi="宋体" w:cs="宋体" w:hint="eastAsia"/>
          <w:color w:val="000000"/>
          <w:kern w:val="0"/>
          <w:sz w:val="28"/>
          <w:szCs w:val="28"/>
        </w:rPr>
        <w:t>人，</w:t>
      </w:r>
      <w:r w:rsidR="00792127">
        <w:rPr>
          <w:rFonts w:ascii="宋体" w:hAnsi="宋体" w:cs="宋体" w:hint="eastAsia"/>
          <w:color w:val="000000"/>
          <w:kern w:val="0"/>
          <w:sz w:val="28"/>
          <w:szCs w:val="28"/>
        </w:rPr>
        <w:t>其中企业职工</w:t>
      </w:r>
      <w:r w:rsidR="00A12776">
        <w:rPr>
          <w:rFonts w:ascii="宋体" w:hAnsi="宋体" w:cs="宋体"/>
          <w:color w:val="000000"/>
          <w:kern w:val="0"/>
          <w:sz w:val="28"/>
          <w:szCs w:val="28"/>
        </w:rPr>
        <w:t>2.70</w:t>
      </w:r>
      <w:r w:rsidR="00792127">
        <w:rPr>
          <w:rFonts w:ascii="宋体" w:hAnsi="宋体" w:cs="宋体" w:hint="eastAsia"/>
          <w:color w:val="000000"/>
          <w:kern w:val="0"/>
          <w:sz w:val="28"/>
          <w:szCs w:val="28"/>
        </w:rPr>
        <w:t>万人，机关事业单位职工0</w:t>
      </w:r>
      <w:r w:rsidR="00792127">
        <w:rPr>
          <w:rFonts w:ascii="宋体" w:hAnsi="宋体" w:cs="宋体"/>
          <w:color w:val="000000"/>
          <w:kern w:val="0"/>
          <w:sz w:val="28"/>
          <w:szCs w:val="28"/>
        </w:rPr>
        <w:t>.53</w:t>
      </w:r>
      <w:r w:rsidR="00792127">
        <w:rPr>
          <w:rFonts w:ascii="宋体" w:hAnsi="宋体" w:cs="宋体" w:hint="eastAsia"/>
          <w:color w:val="000000"/>
          <w:kern w:val="0"/>
          <w:sz w:val="28"/>
          <w:szCs w:val="28"/>
        </w:rPr>
        <w:t>万人。</w:t>
      </w:r>
      <w:r w:rsidR="00B21655" w:rsidRPr="00C33102">
        <w:rPr>
          <w:rFonts w:ascii="宋体" w:hAnsi="宋体" w:cs="宋体" w:hint="eastAsia"/>
          <w:color w:val="000000"/>
          <w:kern w:val="0"/>
          <w:sz w:val="28"/>
          <w:szCs w:val="28"/>
        </w:rPr>
        <w:t>失业保险参保职工</w:t>
      </w:r>
      <w:r w:rsidR="009064A9" w:rsidRPr="00C33102">
        <w:rPr>
          <w:rFonts w:ascii="宋体" w:hAnsi="宋体" w:cs="宋体" w:hint="eastAsia"/>
          <w:color w:val="000000"/>
          <w:kern w:val="0"/>
          <w:sz w:val="28"/>
          <w:szCs w:val="28"/>
        </w:rPr>
        <w:t>2.7</w:t>
      </w:r>
      <w:r w:rsidR="00A12776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="003207D9" w:rsidRPr="00C33102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B21655" w:rsidRPr="00C33102"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 w:rsidR="00792127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="00792127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全县</w:t>
      </w:r>
      <w:r w:rsidR="00B21655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医疗保险参保职工人数</w:t>
      </w:r>
      <w:r w:rsidR="00C33102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 w:rsidR="00FE3875" w:rsidRPr="00FE3875">
        <w:rPr>
          <w:rFonts w:ascii="宋体" w:hAnsi="宋体" w:cs="宋体"/>
          <w:color w:val="000000"/>
          <w:kern w:val="0"/>
          <w:sz w:val="28"/>
          <w:szCs w:val="28"/>
        </w:rPr>
        <w:t>69</w:t>
      </w:r>
      <w:r w:rsidR="003207D9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B21655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 w:rsidR="00FE3875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B21655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参加</w:t>
      </w:r>
      <w:r w:rsidR="00FE3875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城乡居民</w:t>
      </w:r>
      <w:r w:rsidR="00B21655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医疗保险人数</w:t>
      </w:r>
      <w:r w:rsidR="00FE3875">
        <w:rPr>
          <w:rFonts w:ascii="宋体" w:hAnsi="宋体" w:cs="宋体"/>
          <w:color w:val="000000"/>
          <w:kern w:val="0"/>
          <w:sz w:val="28"/>
          <w:szCs w:val="28"/>
        </w:rPr>
        <w:t>15.99</w:t>
      </w:r>
      <w:r w:rsidR="003207D9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957E17" w:rsidRPr="00FE3875">
        <w:rPr>
          <w:rFonts w:ascii="宋体" w:hAnsi="宋体" w:cs="宋体" w:hint="eastAsia"/>
          <w:color w:val="000000"/>
          <w:kern w:val="0"/>
          <w:sz w:val="28"/>
          <w:szCs w:val="28"/>
        </w:rPr>
        <w:t>人，</w:t>
      </w:r>
      <w:r w:rsidR="00957E17" w:rsidRPr="005B7209">
        <w:rPr>
          <w:rFonts w:ascii="宋体" w:hAnsi="宋体" w:cs="宋体" w:hint="eastAsia"/>
          <w:color w:val="000000"/>
          <w:kern w:val="0"/>
          <w:sz w:val="28"/>
          <w:szCs w:val="28"/>
        </w:rPr>
        <w:t>城乡居民</w:t>
      </w:r>
      <w:r w:rsidR="00B21655" w:rsidRPr="005B7209">
        <w:rPr>
          <w:rFonts w:ascii="宋体" w:hAnsi="宋体" w:cs="宋体" w:hint="eastAsia"/>
          <w:color w:val="000000"/>
          <w:kern w:val="0"/>
          <w:sz w:val="28"/>
          <w:szCs w:val="28"/>
        </w:rPr>
        <w:t>社会养老保险</w:t>
      </w:r>
      <w:r w:rsidR="00957E17" w:rsidRPr="005B7209">
        <w:rPr>
          <w:rFonts w:ascii="宋体" w:hAnsi="宋体" w:cs="宋体" w:hint="eastAsia"/>
          <w:color w:val="000000"/>
          <w:kern w:val="0"/>
          <w:sz w:val="28"/>
          <w:szCs w:val="28"/>
        </w:rPr>
        <w:t>参保</w:t>
      </w:r>
      <w:r w:rsidR="00B21655" w:rsidRPr="005B7209">
        <w:rPr>
          <w:rFonts w:ascii="宋体" w:hAnsi="宋体" w:cs="宋体" w:hint="eastAsia"/>
          <w:color w:val="000000"/>
          <w:kern w:val="0"/>
          <w:sz w:val="28"/>
          <w:szCs w:val="28"/>
        </w:rPr>
        <w:t>人数</w:t>
      </w:r>
      <w:r w:rsidR="009064A9" w:rsidRPr="005B7209">
        <w:rPr>
          <w:rFonts w:ascii="宋体" w:hAnsi="宋体" w:cs="宋体" w:hint="eastAsia"/>
          <w:color w:val="000000"/>
          <w:kern w:val="0"/>
          <w:sz w:val="28"/>
          <w:szCs w:val="28"/>
        </w:rPr>
        <w:t>10.</w:t>
      </w:r>
      <w:r w:rsidR="005B7209" w:rsidRPr="005B7209">
        <w:rPr>
          <w:rFonts w:ascii="宋体" w:hAnsi="宋体" w:cs="宋体"/>
          <w:color w:val="000000"/>
          <w:kern w:val="0"/>
          <w:sz w:val="28"/>
          <w:szCs w:val="28"/>
        </w:rPr>
        <w:t>76</w:t>
      </w:r>
      <w:r w:rsidR="003207D9" w:rsidRPr="005B7209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B21655" w:rsidRPr="005B7209">
        <w:rPr>
          <w:rFonts w:ascii="宋体" w:hAnsi="宋体" w:cs="宋体" w:hint="eastAsia"/>
          <w:color w:val="000000"/>
          <w:kern w:val="0"/>
          <w:sz w:val="28"/>
          <w:szCs w:val="28"/>
        </w:rPr>
        <w:t>人。</w:t>
      </w:r>
    </w:p>
    <w:p w:rsidR="00B21655" w:rsidRPr="00734208" w:rsidRDefault="00B21655" w:rsidP="00F75B44">
      <w:pPr>
        <w:widowControl/>
        <w:adjustRightInd w:val="0"/>
        <w:snapToGrid w:val="0"/>
        <w:spacing w:before="100"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734208">
        <w:rPr>
          <w:rFonts w:ascii="宋体" w:hAnsi="宋体" w:cs="宋体" w:hint="eastAsia"/>
          <w:kern w:val="0"/>
          <w:sz w:val="28"/>
          <w:szCs w:val="28"/>
        </w:rPr>
        <w:t>全年全县纳入城镇最低生活保障的居民</w:t>
      </w:r>
      <w:r w:rsidR="00F348C8">
        <w:rPr>
          <w:rFonts w:ascii="宋体" w:hAnsi="宋体" w:cs="宋体"/>
          <w:kern w:val="0"/>
          <w:sz w:val="28"/>
          <w:szCs w:val="28"/>
        </w:rPr>
        <w:t>586</w:t>
      </w:r>
      <w:r w:rsidRPr="00734208">
        <w:rPr>
          <w:rFonts w:ascii="宋体" w:hAnsi="宋体" w:cs="宋体" w:hint="eastAsia"/>
          <w:kern w:val="0"/>
          <w:sz w:val="28"/>
          <w:szCs w:val="28"/>
        </w:rPr>
        <w:t>人，发放城镇低保资金</w:t>
      </w:r>
      <w:r w:rsidR="00F348C8">
        <w:rPr>
          <w:rFonts w:ascii="宋体" w:hAnsi="宋体" w:cs="宋体"/>
          <w:kern w:val="0"/>
          <w:sz w:val="28"/>
          <w:szCs w:val="28"/>
        </w:rPr>
        <w:t>340.57</w:t>
      </w:r>
      <w:r w:rsidRPr="00734208">
        <w:rPr>
          <w:rFonts w:ascii="宋体" w:hAnsi="宋体" w:cs="宋体" w:hint="eastAsia"/>
          <w:kern w:val="0"/>
          <w:sz w:val="28"/>
          <w:szCs w:val="28"/>
        </w:rPr>
        <w:t>万元；纳入农村最低生活保障的居民</w:t>
      </w:r>
      <w:r w:rsidR="00F348C8">
        <w:rPr>
          <w:rFonts w:ascii="宋体" w:hAnsi="宋体" w:cs="宋体"/>
          <w:kern w:val="0"/>
          <w:sz w:val="28"/>
          <w:szCs w:val="28"/>
        </w:rPr>
        <w:t>2446</w:t>
      </w:r>
      <w:r w:rsidRPr="00734208">
        <w:rPr>
          <w:rFonts w:ascii="宋体" w:hAnsi="宋体" w:cs="宋体" w:hint="eastAsia"/>
          <w:kern w:val="0"/>
          <w:sz w:val="28"/>
          <w:szCs w:val="28"/>
        </w:rPr>
        <w:t>人，发放农村低保资金</w:t>
      </w:r>
      <w:r w:rsidR="00F348C8">
        <w:rPr>
          <w:rFonts w:ascii="宋体" w:hAnsi="宋体" w:cs="宋体"/>
          <w:kern w:val="0"/>
          <w:sz w:val="28"/>
          <w:szCs w:val="28"/>
        </w:rPr>
        <w:t>842.11</w:t>
      </w:r>
      <w:r w:rsidRPr="00734208">
        <w:rPr>
          <w:rFonts w:ascii="宋体" w:hAnsi="宋体" w:cs="宋体" w:hint="eastAsia"/>
          <w:kern w:val="0"/>
          <w:sz w:val="28"/>
          <w:szCs w:val="28"/>
        </w:rPr>
        <w:t>万元。</w:t>
      </w:r>
    </w:p>
    <w:p w:rsidR="00B21655" w:rsidRPr="00C852E2" w:rsidRDefault="00B21655" w:rsidP="00F75B44">
      <w:pPr>
        <w:widowControl/>
        <w:adjustRightInd w:val="0"/>
        <w:spacing w:before="100" w:after="100"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lang w:val="zh-CN"/>
        </w:rPr>
      </w:pPr>
      <w:r w:rsidRPr="00C852E2">
        <w:rPr>
          <w:rFonts w:ascii="宋体" w:hAnsi="宋体" w:cs="宋体" w:hint="eastAsia"/>
          <w:kern w:val="0"/>
          <w:sz w:val="28"/>
          <w:szCs w:val="28"/>
          <w:lang w:val="zh-CN"/>
        </w:rPr>
        <w:t>年末全县各类收养性社会福利单位</w:t>
      </w:r>
      <w:r w:rsidR="00067B9D" w:rsidRPr="00C852E2">
        <w:rPr>
          <w:rFonts w:ascii="宋体" w:hAnsi="宋体" w:cs="宋体"/>
          <w:kern w:val="0"/>
          <w:sz w:val="28"/>
          <w:szCs w:val="28"/>
          <w:lang w:val="zh-CN"/>
        </w:rPr>
        <w:t>4</w:t>
      </w:r>
      <w:r w:rsidRPr="00C852E2">
        <w:rPr>
          <w:rFonts w:ascii="宋体" w:hAnsi="宋体" w:cs="宋体" w:hint="eastAsia"/>
          <w:kern w:val="0"/>
          <w:sz w:val="28"/>
          <w:szCs w:val="28"/>
          <w:lang w:val="zh-CN"/>
        </w:rPr>
        <w:t>个，床位</w:t>
      </w:r>
      <w:r w:rsidR="00FE3875">
        <w:rPr>
          <w:rFonts w:ascii="宋体" w:hAnsi="宋体" w:cs="宋体"/>
          <w:kern w:val="0"/>
          <w:sz w:val="28"/>
          <w:szCs w:val="28"/>
          <w:lang w:val="zh-CN"/>
        </w:rPr>
        <w:t>330</w:t>
      </w:r>
      <w:r w:rsidRPr="00C852E2">
        <w:rPr>
          <w:rFonts w:ascii="宋体" w:hAnsi="宋体" w:cs="宋体" w:hint="eastAsia"/>
          <w:kern w:val="0"/>
          <w:sz w:val="28"/>
          <w:szCs w:val="28"/>
          <w:lang w:val="zh-CN"/>
        </w:rPr>
        <w:t>张；收养各类人员人数</w:t>
      </w:r>
      <w:r w:rsidR="003B44AA">
        <w:rPr>
          <w:rFonts w:ascii="宋体" w:hAnsi="宋体" w:cs="宋体"/>
          <w:kern w:val="0"/>
          <w:sz w:val="28"/>
          <w:szCs w:val="28"/>
        </w:rPr>
        <w:t>256</w:t>
      </w:r>
      <w:r w:rsidRPr="00C852E2">
        <w:rPr>
          <w:rFonts w:ascii="宋体" w:hAnsi="宋体" w:cs="宋体" w:hint="eastAsia"/>
          <w:kern w:val="0"/>
          <w:sz w:val="28"/>
          <w:szCs w:val="28"/>
          <w:lang w:val="zh-CN"/>
        </w:rPr>
        <w:t>人。</w:t>
      </w:r>
    </w:p>
    <w:p w:rsidR="00B21655" w:rsidRDefault="00B21655" w:rsidP="00F75B44">
      <w:pPr>
        <w:widowControl/>
        <w:adjustRightInd w:val="0"/>
        <w:spacing w:before="100" w:after="100" w:line="500" w:lineRule="exact"/>
        <w:ind w:firstLineChars="200" w:firstLine="562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十</w:t>
      </w:r>
      <w:r w:rsidR="00E860A2"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二</w:t>
      </w:r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、资源、环境和安全生产</w:t>
      </w:r>
    </w:p>
    <w:p w:rsidR="00B21655" w:rsidRPr="009E6EB4" w:rsidRDefault="00B21655" w:rsidP="00F75B44">
      <w:pPr>
        <w:widowControl/>
        <w:adjustRightInd w:val="0"/>
        <w:spacing w:line="500" w:lineRule="exact"/>
        <w:ind w:firstLineChars="204" w:firstLine="571"/>
        <w:jc w:val="left"/>
        <w:rPr>
          <w:rFonts w:ascii="宋体" w:hAnsi="宋体" w:cs="宋体"/>
          <w:kern w:val="0"/>
          <w:sz w:val="28"/>
          <w:szCs w:val="28"/>
          <w:lang w:val="zh-CN"/>
        </w:rPr>
      </w:pPr>
      <w:r w:rsidRPr="009E6EB4">
        <w:rPr>
          <w:rFonts w:ascii="宋体" w:hAnsi="宋体" w:cs="宋体" w:hint="eastAsia"/>
          <w:kern w:val="0"/>
          <w:sz w:val="28"/>
          <w:szCs w:val="28"/>
          <w:lang w:val="zh-CN"/>
        </w:rPr>
        <w:t>全年全县耕地保有量</w:t>
      </w:r>
      <w:r w:rsidRPr="009E6EB4">
        <w:rPr>
          <w:rFonts w:ascii="宋体" w:hAnsi="宋体" w:cs="宋体" w:hint="eastAsia"/>
          <w:kern w:val="0"/>
          <w:sz w:val="28"/>
          <w:szCs w:val="28"/>
        </w:rPr>
        <w:t>100.</w:t>
      </w:r>
      <w:r w:rsidR="003B3199">
        <w:rPr>
          <w:rFonts w:ascii="宋体" w:hAnsi="宋体" w:cs="宋体"/>
          <w:kern w:val="0"/>
          <w:sz w:val="28"/>
          <w:szCs w:val="28"/>
        </w:rPr>
        <w:t>42</w:t>
      </w:r>
      <w:r w:rsidRPr="009E6EB4">
        <w:rPr>
          <w:rFonts w:ascii="宋体" w:hAnsi="宋体" w:cs="宋体" w:hint="eastAsia"/>
          <w:kern w:val="0"/>
          <w:sz w:val="28"/>
          <w:szCs w:val="28"/>
          <w:lang w:val="zh-CN"/>
        </w:rPr>
        <w:t>万亩。</w:t>
      </w:r>
    </w:p>
    <w:p w:rsidR="00B21655" w:rsidRPr="002A7DFC" w:rsidRDefault="00B21655" w:rsidP="00F75B44">
      <w:pPr>
        <w:widowControl/>
        <w:adjustRightInd w:val="0"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lang w:val="zh-CN"/>
        </w:rPr>
      </w:pP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全年全县</w:t>
      </w:r>
      <w:r w:rsidR="00853603"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空气</w:t>
      </w: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综合</w:t>
      </w:r>
      <w:r w:rsidR="00853603"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质量</w:t>
      </w: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指数为</w:t>
      </w:r>
      <w:r w:rsidR="0061337E">
        <w:rPr>
          <w:rFonts w:ascii="宋体" w:hAnsi="宋体" w:cs="宋体"/>
          <w:kern w:val="0"/>
          <w:sz w:val="28"/>
          <w:szCs w:val="28"/>
          <w:lang w:val="zh-CN"/>
        </w:rPr>
        <w:t>7.38</w:t>
      </w:r>
      <w:r w:rsidRPr="002A7DFC">
        <w:rPr>
          <w:rFonts w:ascii="宋体" w:hAnsi="宋体" w:cs="宋体" w:hint="eastAsia"/>
          <w:kern w:val="0"/>
          <w:sz w:val="28"/>
          <w:szCs w:val="28"/>
          <w:lang w:val="zh-CN"/>
        </w:rPr>
        <w:t>。</w:t>
      </w:r>
    </w:p>
    <w:p w:rsidR="00B21655" w:rsidRPr="00475D9D" w:rsidRDefault="00B21655" w:rsidP="00F75B44">
      <w:pPr>
        <w:widowControl/>
        <w:adjustRightInd w:val="0"/>
        <w:spacing w:before="60" w:after="100" w:line="500" w:lineRule="exact"/>
        <w:ind w:firstLineChars="204" w:firstLine="571"/>
        <w:jc w:val="left"/>
        <w:rPr>
          <w:rFonts w:ascii="宋体" w:hAnsi="宋体" w:cs="宋体"/>
          <w:kern w:val="0"/>
          <w:sz w:val="28"/>
          <w:szCs w:val="28"/>
          <w:lang w:val="zh-CN"/>
        </w:rPr>
      </w:pPr>
      <w:r w:rsidRPr="00475D9D">
        <w:rPr>
          <w:rFonts w:ascii="宋体" w:hAnsi="宋体" w:cs="宋体" w:hint="eastAsia"/>
          <w:kern w:val="0"/>
          <w:sz w:val="28"/>
          <w:szCs w:val="28"/>
          <w:lang w:val="zh-CN"/>
        </w:rPr>
        <w:lastRenderedPageBreak/>
        <w:t>全年</w:t>
      </w:r>
      <w:r w:rsidR="004D0566">
        <w:rPr>
          <w:rFonts w:ascii="宋体" w:hAnsi="宋体" w:cs="宋体" w:hint="eastAsia"/>
          <w:kern w:val="0"/>
          <w:sz w:val="28"/>
          <w:szCs w:val="28"/>
          <w:lang w:val="zh-CN"/>
        </w:rPr>
        <w:t>全县共发生各类</w:t>
      </w:r>
      <w:r w:rsidRPr="00475D9D">
        <w:rPr>
          <w:rFonts w:ascii="宋体" w:hAnsi="宋体" w:cs="宋体" w:hint="eastAsia"/>
          <w:kern w:val="0"/>
          <w:sz w:val="28"/>
          <w:szCs w:val="28"/>
          <w:lang w:val="zh-CN"/>
        </w:rPr>
        <w:t>生产安全</w:t>
      </w:r>
      <w:r w:rsidR="004D0566">
        <w:rPr>
          <w:rFonts w:ascii="宋体" w:hAnsi="宋体" w:cs="宋体" w:hint="eastAsia"/>
          <w:kern w:val="0"/>
          <w:sz w:val="28"/>
          <w:szCs w:val="28"/>
          <w:lang w:val="zh-CN"/>
        </w:rPr>
        <w:t>亡人</w:t>
      </w:r>
      <w:r w:rsidRPr="00475D9D">
        <w:rPr>
          <w:rFonts w:ascii="宋体" w:hAnsi="宋体" w:cs="宋体" w:hint="eastAsia"/>
          <w:kern w:val="0"/>
          <w:sz w:val="28"/>
          <w:szCs w:val="28"/>
          <w:lang w:val="zh-CN"/>
        </w:rPr>
        <w:t>事故</w:t>
      </w:r>
      <w:r w:rsidR="004D0566">
        <w:rPr>
          <w:rFonts w:ascii="宋体" w:hAnsi="宋体" w:cs="宋体" w:hint="eastAsia"/>
          <w:kern w:val="0"/>
          <w:sz w:val="28"/>
          <w:szCs w:val="28"/>
          <w:lang w:val="zh-CN"/>
        </w:rPr>
        <w:t>5起，下降4</w:t>
      </w:r>
      <w:r w:rsidR="004D0566">
        <w:rPr>
          <w:rFonts w:ascii="宋体" w:hAnsi="宋体" w:cs="宋体"/>
          <w:kern w:val="0"/>
          <w:sz w:val="28"/>
          <w:szCs w:val="28"/>
          <w:lang w:val="zh-CN"/>
        </w:rPr>
        <w:t>4.4%；</w:t>
      </w:r>
      <w:r w:rsidRPr="00475D9D">
        <w:rPr>
          <w:rFonts w:ascii="宋体" w:hAnsi="宋体" w:cs="宋体" w:hint="eastAsia"/>
          <w:kern w:val="0"/>
          <w:sz w:val="28"/>
          <w:szCs w:val="28"/>
          <w:lang w:val="zh-CN"/>
        </w:rPr>
        <w:t>死亡</w:t>
      </w:r>
      <w:r w:rsidR="004D0566">
        <w:rPr>
          <w:rFonts w:ascii="宋体" w:hAnsi="宋体" w:cs="宋体"/>
          <w:kern w:val="0"/>
          <w:sz w:val="28"/>
          <w:szCs w:val="28"/>
        </w:rPr>
        <w:t>5</w:t>
      </w:r>
      <w:r w:rsidRPr="00475D9D">
        <w:rPr>
          <w:rFonts w:ascii="宋体" w:hAnsi="宋体" w:cs="宋体" w:hint="eastAsia"/>
          <w:kern w:val="0"/>
          <w:sz w:val="28"/>
          <w:szCs w:val="28"/>
          <w:lang w:val="zh-CN"/>
        </w:rPr>
        <w:t>人</w:t>
      </w:r>
      <w:r w:rsidR="004D0566">
        <w:rPr>
          <w:rFonts w:ascii="宋体" w:hAnsi="宋体" w:cs="宋体" w:hint="eastAsia"/>
          <w:kern w:val="0"/>
          <w:sz w:val="28"/>
          <w:szCs w:val="28"/>
          <w:lang w:val="zh-CN"/>
        </w:rPr>
        <w:t>，下降4</w:t>
      </w:r>
      <w:r w:rsidR="004D0566">
        <w:rPr>
          <w:rFonts w:ascii="宋体" w:hAnsi="宋体" w:cs="宋体"/>
          <w:kern w:val="0"/>
          <w:sz w:val="28"/>
          <w:szCs w:val="28"/>
          <w:lang w:val="zh-CN"/>
        </w:rPr>
        <w:t>4.4%</w:t>
      </w:r>
      <w:r w:rsidRPr="00475D9D">
        <w:rPr>
          <w:rFonts w:ascii="宋体" w:hAnsi="宋体" w:cs="宋体" w:hint="eastAsia"/>
          <w:kern w:val="0"/>
          <w:sz w:val="28"/>
          <w:szCs w:val="28"/>
          <w:lang w:val="zh-CN"/>
        </w:rPr>
        <w:t>。亿元GDP生产安全事故死亡人数为</w:t>
      </w:r>
      <w:r w:rsidR="00324250" w:rsidRPr="00475D9D">
        <w:rPr>
          <w:rFonts w:ascii="宋体" w:hAnsi="宋体" w:cs="宋体" w:hint="eastAsia"/>
          <w:kern w:val="0"/>
          <w:sz w:val="28"/>
          <w:szCs w:val="28"/>
          <w:lang w:val="zh-CN"/>
        </w:rPr>
        <w:t>0.</w:t>
      </w:r>
      <w:r w:rsidR="00864E46">
        <w:rPr>
          <w:rFonts w:ascii="宋体" w:hAnsi="宋体" w:cs="宋体"/>
          <w:kern w:val="0"/>
          <w:sz w:val="28"/>
          <w:szCs w:val="28"/>
          <w:lang w:val="zh-CN"/>
        </w:rPr>
        <w:t>0</w:t>
      </w:r>
      <w:r w:rsidR="004D0566">
        <w:rPr>
          <w:rFonts w:ascii="宋体" w:hAnsi="宋体" w:cs="宋体"/>
          <w:kern w:val="0"/>
          <w:sz w:val="28"/>
          <w:szCs w:val="28"/>
          <w:lang w:val="zh-CN"/>
        </w:rPr>
        <w:t>4</w:t>
      </w:r>
      <w:r w:rsidRPr="00475D9D">
        <w:rPr>
          <w:rFonts w:ascii="宋体" w:hAnsi="宋体" w:cs="宋体" w:hint="eastAsia"/>
          <w:kern w:val="0"/>
          <w:sz w:val="28"/>
          <w:szCs w:val="28"/>
          <w:lang w:val="zh-CN"/>
        </w:rPr>
        <w:t>人。</w:t>
      </w:r>
    </w:p>
    <w:p w:rsidR="00B21655" w:rsidRPr="00C310E9" w:rsidRDefault="00B21655" w:rsidP="00C310E9">
      <w:pPr>
        <w:widowControl/>
        <w:spacing w:line="50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C310E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注释：</w:t>
      </w:r>
    </w:p>
    <w:p w:rsidR="00FC0BDF" w:rsidRPr="00C310E9" w:rsidRDefault="00FC0BDF" w:rsidP="00C310E9">
      <w:pPr>
        <w:autoSpaceDN w:val="0"/>
        <w:spacing w:line="500" w:lineRule="exact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/>
          <w:color w:val="333333"/>
          <w:sz w:val="28"/>
          <w:szCs w:val="28"/>
        </w:rPr>
        <w:t>1、</w:t>
      </w:r>
      <w:r w:rsidR="00B21655" w:rsidRPr="00C310E9">
        <w:rPr>
          <w:rFonts w:asciiTheme="minorEastAsia" w:eastAsiaTheme="minorEastAsia" w:hAnsiTheme="minorEastAsia"/>
          <w:color w:val="333333"/>
          <w:sz w:val="28"/>
          <w:szCs w:val="28"/>
        </w:rPr>
        <w:t>本公报部分数据为初步统计数据。</w:t>
      </w:r>
    </w:p>
    <w:p w:rsidR="00FC0BDF" w:rsidRPr="00C310E9" w:rsidRDefault="00FC0BDF" w:rsidP="00C310E9">
      <w:pPr>
        <w:autoSpaceDN w:val="0"/>
        <w:spacing w:line="500" w:lineRule="exact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/>
          <w:color w:val="333333"/>
          <w:sz w:val="28"/>
          <w:szCs w:val="28"/>
        </w:rPr>
        <w:t>2、</w:t>
      </w:r>
      <w:r w:rsidRPr="00C310E9">
        <w:rPr>
          <w:rFonts w:asciiTheme="minorEastAsia" w:eastAsiaTheme="minorEastAsia" w:hAnsiTheme="minorEastAsia" w:hint="eastAsia"/>
          <w:color w:val="333333"/>
          <w:sz w:val="28"/>
          <w:szCs w:val="28"/>
        </w:rPr>
        <w:t>本</w:t>
      </w:r>
      <w:r w:rsidRPr="00C310E9">
        <w:rPr>
          <w:rFonts w:asciiTheme="minorEastAsia" w:eastAsiaTheme="minorEastAsia" w:hAnsiTheme="minorEastAsia"/>
          <w:color w:val="333333"/>
          <w:sz w:val="28"/>
          <w:szCs w:val="28"/>
        </w:rPr>
        <w:t>公报部分数据由相关部门提供。</w:t>
      </w:r>
    </w:p>
    <w:p w:rsidR="00B21655" w:rsidRPr="00C310E9" w:rsidRDefault="00FC0BDF" w:rsidP="00C310E9">
      <w:pPr>
        <w:autoSpaceDN w:val="0"/>
        <w:spacing w:line="500" w:lineRule="exact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 w:hint="eastAsia"/>
          <w:color w:val="333333"/>
          <w:sz w:val="28"/>
          <w:szCs w:val="28"/>
        </w:rPr>
        <w:t>3、</w:t>
      </w:r>
      <w:r w:rsidR="00B21655" w:rsidRPr="00C310E9">
        <w:rPr>
          <w:rFonts w:asciiTheme="minorEastAsia" w:eastAsiaTheme="minorEastAsia" w:hAnsiTheme="minorEastAsia"/>
          <w:color w:val="333333"/>
          <w:sz w:val="28"/>
          <w:szCs w:val="28"/>
        </w:rPr>
        <w:t>地区生产总值、各产业增加值绝对数按现价计算，增长速度按不变价格计算。</w:t>
      </w:r>
    </w:p>
    <w:p w:rsidR="00B21655" w:rsidRPr="00C310E9" w:rsidRDefault="00FC0BDF" w:rsidP="00C310E9">
      <w:pPr>
        <w:autoSpaceDN w:val="0"/>
        <w:spacing w:line="500" w:lineRule="exact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/>
          <w:color w:val="333333"/>
          <w:sz w:val="28"/>
          <w:szCs w:val="28"/>
        </w:rPr>
        <w:t>4、</w:t>
      </w:r>
      <w:r w:rsidRPr="00C310E9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Pr="00C310E9">
        <w:rPr>
          <w:rFonts w:asciiTheme="minorEastAsia" w:eastAsiaTheme="minorEastAsia" w:hAnsiTheme="minorEastAsia"/>
          <w:color w:val="333333"/>
          <w:sz w:val="28"/>
          <w:szCs w:val="28"/>
        </w:rPr>
        <w:t>018年</w:t>
      </w:r>
      <w:r w:rsidR="008A1A7D" w:rsidRPr="00C310E9">
        <w:rPr>
          <w:rFonts w:asciiTheme="minorEastAsia" w:eastAsiaTheme="minorEastAsia" w:hAnsiTheme="minorEastAsia"/>
          <w:color w:val="333333"/>
          <w:sz w:val="28"/>
          <w:szCs w:val="28"/>
        </w:rPr>
        <w:t>地区生产总值及各产业增加值为依据第四次全国经济</w:t>
      </w:r>
      <w:r w:rsidR="008A1A7D" w:rsidRPr="00C310E9">
        <w:rPr>
          <w:rFonts w:asciiTheme="minorEastAsia" w:eastAsiaTheme="minorEastAsia" w:hAnsiTheme="minorEastAsia" w:hint="eastAsia"/>
          <w:color w:val="333333"/>
          <w:sz w:val="28"/>
          <w:szCs w:val="28"/>
        </w:rPr>
        <w:t>普查结果修订数据，其他历史年份数据尚在修订中</w:t>
      </w:r>
      <w:r w:rsidR="00B21655" w:rsidRPr="00C310E9">
        <w:rPr>
          <w:rFonts w:asciiTheme="minorEastAsia" w:eastAsiaTheme="minorEastAsia" w:hAnsiTheme="minorEastAsia"/>
          <w:color w:val="333333"/>
          <w:sz w:val="28"/>
          <w:szCs w:val="28"/>
        </w:rPr>
        <w:t>。</w:t>
      </w:r>
    </w:p>
    <w:p w:rsidR="008A1A7D" w:rsidRPr="00C310E9" w:rsidRDefault="008A1A7D" w:rsidP="00C310E9">
      <w:pPr>
        <w:autoSpaceDN w:val="0"/>
        <w:spacing w:line="500" w:lineRule="exact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/>
          <w:color w:val="333333"/>
          <w:sz w:val="28"/>
          <w:szCs w:val="28"/>
        </w:rPr>
        <w:t>5、除注明外，所有增长或下降速度均为同上年相比较。</w:t>
      </w:r>
    </w:p>
    <w:p w:rsidR="008A1A7D" w:rsidRPr="00C310E9" w:rsidRDefault="008A1A7D" w:rsidP="00C310E9">
      <w:pPr>
        <w:autoSpaceDN w:val="0"/>
        <w:spacing w:line="500" w:lineRule="exact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 w:hint="eastAsia"/>
          <w:color w:val="333333"/>
          <w:sz w:val="28"/>
          <w:szCs w:val="28"/>
        </w:rPr>
        <w:t>6、部分数据因四舍五入的原因，存在与分项合计不等的情况。</w:t>
      </w:r>
    </w:p>
    <w:p w:rsidR="008A1A7D" w:rsidRPr="00C310E9" w:rsidRDefault="008A1A7D" w:rsidP="00C310E9">
      <w:pPr>
        <w:autoSpaceDN w:val="0"/>
        <w:spacing w:line="500" w:lineRule="exact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 w:hint="eastAsia"/>
          <w:color w:val="333333"/>
          <w:sz w:val="28"/>
          <w:szCs w:val="28"/>
        </w:rPr>
        <w:t>7、“四上”企业是指规模以上工业企业、有资质的建筑业企业和房地产开发企业、限额以上批发零售和住宿餐饮企业、规模以上服务业企业。</w:t>
      </w:r>
    </w:p>
    <w:p w:rsidR="00B21655" w:rsidRPr="00C310E9" w:rsidRDefault="00B21655" w:rsidP="00C310E9">
      <w:pPr>
        <w:autoSpaceDN w:val="0"/>
        <w:spacing w:line="500" w:lineRule="exact"/>
        <w:ind w:firstLine="539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C310E9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</w:p>
    <w:sectPr w:rsidR="00B21655" w:rsidRPr="00C310E9" w:rsidSect="00AD21A2"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4C" w:rsidRDefault="0059484C">
      <w:r>
        <w:separator/>
      </w:r>
    </w:p>
  </w:endnote>
  <w:endnote w:type="continuationSeparator" w:id="0">
    <w:p w:rsidR="0059484C" w:rsidRDefault="005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70" w:rsidRDefault="00AF1D7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F1D70" w:rsidRDefault="00AF1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70" w:rsidRDefault="00AF1D7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967F2">
      <w:rPr>
        <w:rStyle w:val="a3"/>
        <w:noProof/>
      </w:rPr>
      <w:t>11</w:t>
    </w:r>
    <w:r>
      <w:fldChar w:fldCharType="end"/>
    </w:r>
  </w:p>
  <w:p w:rsidR="00AF1D70" w:rsidRDefault="00AF1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4C" w:rsidRDefault="0059484C">
      <w:r>
        <w:separator/>
      </w:r>
    </w:p>
  </w:footnote>
  <w:footnote w:type="continuationSeparator" w:id="0">
    <w:p w:rsidR="0059484C" w:rsidRDefault="0059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E86"/>
    <w:rsid w:val="000070E5"/>
    <w:rsid w:val="00012C69"/>
    <w:rsid w:val="000135EA"/>
    <w:rsid w:val="0002420B"/>
    <w:rsid w:val="000357A5"/>
    <w:rsid w:val="0004085B"/>
    <w:rsid w:val="00055920"/>
    <w:rsid w:val="00055D86"/>
    <w:rsid w:val="00066AD8"/>
    <w:rsid w:val="00067B9D"/>
    <w:rsid w:val="00075C2B"/>
    <w:rsid w:val="000763AF"/>
    <w:rsid w:val="000808AF"/>
    <w:rsid w:val="00085291"/>
    <w:rsid w:val="00087558"/>
    <w:rsid w:val="00091778"/>
    <w:rsid w:val="000B074F"/>
    <w:rsid w:val="000B1855"/>
    <w:rsid w:val="000B1DB5"/>
    <w:rsid w:val="000B3ADA"/>
    <w:rsid w:val="000C4B3C"/>
    <w:rsid w:val="000C56E3"/>
    <w:rsid w:val="000D1E9E"/>
    <w:rsid w:val="000D6BD8"/>
    <w:rsid w:val="000E1194"/>
    <w:rsid w:val="000E3FA4"/>
    <w:rsid w:val="000E4701"/>
    <w:rsid w:val="000F18F3"/>
    <w:rsid w:val="000F770A"/>
    <w:rsid w:val="000F7A4B"/>
    <w:rsid w:val="000F7B1F"/>
    <w:rsid w:val="001173C3"/>
    <w:rsid w:val="00121920"/>
    <w:rsid w:val="00135163"/>
    <w:rsid w:val="00137691"/>
    <w:rsid w:val="00140C1F"/>
    <w:rsid w:val="00145E35"/>
    <w:rsid w:val="001465AB"/>
    <w:rsid w:val="0014793A"/>
    <w:rsid w:val="00153580"/>
    <w:rsid w:val="00172A27"/>
    <w:rsid w:val="00182DDE"/>
    <w:rsid w:val="001922BD"/>
    <w:rsid w:val="0019355E"/>
    <w:rsid w:val="00196F34"/>
    <w:rsid w:val="0019708A"/>
    <w:rsid w:val="001B3DAF"/>
    <w:rsid w:val="001C2773"/>
    <w:rsid w:val="001C3B68"/>
    <w:rsid w:val="001C5AC8"/>
    <w:rsid w:val="001C7134"/>
    <w:rsid w:val="001D195B"/>
    <w:rsid w:val="001D2FAA"/>
    <w:rsid w:val="001D4DE0"/>
    <w:rsid w:val="001D5297"/>
    <w:rsid w:val="001E1C5E"/>
    <w:rsid w:val="001E1D5C"/>
    <w:rsid w:val="0020392F"/>
    <w:rsid w:val="00237CCA"/>
    <w:rsid w:val="0024081E"/>
    <w:rsid w:val="0024573C"/>
    <w:rsid w:val="002519E7"/>
    <w:rsid w:val="00251AED"/>
    <w:rsid w:val="00254B8D"/>
    <w:rsid w:val="00262BF2"/>
    <w:rsid w:val="00280491"/>
    <w:rsid w:val="00285134"/>
    <w:rsid w:val="00297973"/>
    <w:rsid w:val="002A0784"/>
    <w:rsid w:val="002A1F48"/>
    <w:rsid w:val="002A7DFC"/>
    <w:rsid w:val="002B1714"/>
    <w:rsid w:val="002C48A4"/>
    <w:rsid w:val="002D280D"/>
    <w:rsid w:val="002D3119"/>
    <w:rsid w:val="002D5AB8"/>
    <w:rsid w:val="002E113E"/>
    <w:rsid w:val="002E1E89"/>
    <w:rsid w:val="003031DC"/>
    <w:rsid w:val="003032DA"/>
    <w:rsid w:val="0030782D"/>
    <w:rsid w:val="00315144"/>
    <w:rsid w:val="0032057F"/>
    <w:rsid w:val="003207D9"/>
    <w:rsid w:val="003215B0"/>
    <w:rsid w:val="003229D6"/>
    <w:rsid w:val="00324250"/>
    <w:rsid w:val="003341A0"/>
    <w:rsid w:val="00336A32"/>
    <w:rsid w:val="0036549A"/>
    <w:rsid w:val="00365F3E"/>
    <w:rsid w:val="00371060"/>
    <w:rsid w:val="00371BA9"/>
    <w:rsid w:val="003739D7"/>
    <w:rsid w:val="003967F2"/>
    <w:rsid w:val="003B3199"/>
    <w:rsid w:val="003B44AA"/>
    <w:rsid w:val="003C42F5"/>
    <w:rsid w:val="003C739E"/>
    <w:rsid w:val="003D6301"/>
    <w:rsid w:val="003E4B6E"/>
    <w:rsid w:val="003F5D37"/>
    <w:rsid w:val="003F6EDE"/>
    <w:rsid w:val="00400EDA"/>
    <w:rsid w:val="00410359"/>
    <w:rsid w:val="00415543"/>
    <w:rsid w:val="00417A7E"/>
    <w:rsid w:val="004237CA"/>
    <w:rsid w:val="004240CF"/>
    <w:rsid w:val="00431229"/>
    <w:rsid w:val="00431F1B"/>
    <w:rsid w:val="0046691A"/>
    <w:rsid w:val="00475D9D"/>
    <w:rsid w:val="00487C9F"/>
    <w:rsid w:val="004A010A"/>
    <w:rsid w:val="004B2CAB"/>
    <w:rsid w:val="004D0566"/>
    <w:rsid w:val="004D0EBE"/>
    <w:rsid w:val="004D2CE6"/>
    <w:rsid w:val="004D6B4F"/>
    <w:rsid w:val="004E08BD"/>
    <w:rsid w:val="004E20CE"/>
    <w:rsid w:val="004E5F90"/>
    <w:rsid w:val="004F504E"/>
    <w:rsid w:val="00510852"/>
    <w:rsid w:val="00516BFE"/>
    <w:rsid w:val="005278DA"/>
    <w:rsid w:val="00531164"/>
    <w:rsid w:val="00531461"/>
    <w:rsid w:val="005330B8"/>
    <w:rsid w:val="0054020A"/>
    <w:rsid w:val="00542875"/>
    <w:rsid w:val="00554F87"/>
    <w:rsid w:val="00556B10"/>
    <w:rsid w:val="005637E7"/>
    <w:rsid w:val="00573014"/>
    <w:rsid w:val="005815D5"/>
    <w:rsid w:val="005915E5"/>
    <w:rsid w:val="0059484C"/>
    <w:rsid w:val="005B7209"/>
    <w:rsid w:val="005C0B82"/>
    <w:rsid w:val="005C3F83"/>
    <w:rsid w:val="005D14E9"/>
    <w:rsid w:val="005D734F"/>
    <w:rsid w:val="005D7CC4"/>
    <w:rsid w:val="005F4B12"/>
    <w:rsid w:val="00603560"/>
    <w:rsid w:val="006071E2"/>
    <w:rsid w:val="00610DDF"/>
    <w:rsid w:val="0061337E"/>
    <w:rsid w:val="006220FB"/>
    <w:rsid w:val="006242F3"/>
    <w:rsid w:val="00634081"/>
    <w:rsid w:val="00644423"/>
    <w:rsid w:val="006462C0"/>
    <w:rsid w:val="00647F47"/>
    <w:rsid w:val="00652ED7"/>
    <w:rsid w:val="00653C5C"/>
    <w:rsid w:val="00654398"/>
    <w:rsid w:val="0066003B"/>
    <w:rsid w:val="00673782"/>
    <w:rsid w:val="0068044B"/>
    <w:rsid w:val="0068140E"/>
    <w:rsid w:val="00685AF8"/>
    <w:rsid w:val="00687A9F"/>
    <w:rsid w:val="006A268B"/>
    <w:rsid w:val="006A5B37"/>
    <w:rsid w:val="006A7B59"/>
    <w:rsid w:val="006B035C"/>
    <w:rsid w:val="006B484D"/>
    <w:rsid w:val="006C1E48"/>
    <w:rsid w:val="006C1E7F"/>
    <w:rsid w:val="006F0F70"/>
    <w:rsid w:val="006F2550"/>
    <w:rsid w:val="00705553"/>
    <w:rsid w:val="00710845"/>
    <w:rsid w:val="00722265"/>
    <w:rsid w:val="00732C42"/>
    <w:rsid w:val="00734208"/>
    <w:rsid w:val="00742BD3"/>
    <w:rsid w:val="00755CD7"/>
    <w:rsid w:val="007677D6"/>
    <w:rsid w:val="00787644"/>
    <w:rsid w:val="00792127"/>
    <w:rsid w:val="007954AB"/>
    <w:rsid w:val="007A2685"/>
    <w:rsid w:val="007B06EC"/>
    <w:rsid w:val="007B23C2"/>
    <w:rsid w:val="007D1F80"/>
    <w:rsid w:val="007E2B75"/>
    <w:rsid w:val="007E5715"/>
    <w:rsid w:val="007E7B43"/>
    <w:rsid w:val="007F1C5D"/>
    <w:rsid w:val="007F1FC4"/>
    <w:rsid w:val="00800514"/>
    <w:rsid w:val="0080507C"/>
    <w:rsid w:val="00805CE6"/>
    <w:rsid w:val="00806EC3"/>
    <w:rsid w:val="00811765"/>
    <w:rsid w:val="008142DA"/>
    <w:rsid w:val="00824CA2"/>
    <w:rsid w:val="00827808"/>
    <w:rsid w:val="008403CE"/>
    <w:rsid w:val="008527EF"/>
    <w:rsid w:val="00853603"/>
    <w:rsid w:val="00853F7D"/>
    <w:rsid w:val="00854794"/>
    <w:rsid w:val="00864E46"/>
    <w:rsid w:val="008765B0"/>
    <w:rsid w:val="0089465F"/>
    <w:rsid w:val="00895139"/>
    <w:rsid w:val="00897A13"/>
    <w:rsid w:val="008A1A7D"/>
    <w:rsid w:val="008A31DB"/>
    <w:rsid w:val="008A3D3A"/>
    <w:rsid w:val="008B2AAE"/>
    <w:rsid w:val="008B5B2B"/>
    <w:rsid w:val="008C10AB"/>
    <w:rsid w:val="008C1750"/>
    <w:rsid w:val="008D58CD"/>
    <w:rsid w:val="008D64A2"/>
    <w:rsid w:val="008E5E74"/>
    <w:rsid w:val="008F69F3"/>
    <w:rsid w:val="00901267"/>
    <w:rsid w:val="009064A9"/>
    <w:rsid w:val="009267C1"/>
    <w:rsid w:val="009366A1"/>
    <w:rsid w:val="00944EFA"/>
    <w:rsid w:val="009450D7"/>
    <w:rsid w:val="0095317B"/>
    <w:rsid w:val="0095663A"/>
    <w:rsid w:val="00957E17"/>
    <w:rsid w:val="00964A7D"/>
    <w:rsid w:val="00986E94"/>
    <w:rsid w:val="009A3F95"/>
    <w:rsid w:val="009C6690"/>
    <w:rsid w:val="009E3767"/>
    <w:rsid w:val="009E6EB4"/>
    <w:rsid w:val="009F1FB8"/>
    <w:rsid w:val="00A12776"/>
    <w:rsid w:val="00A20044"/>
    <w:rsid w:val="00A22544"/>
    <w:rsid w:val="00A31DE9"/>
    <w:rsid w:val="00A36AF3"/>
    <w:rsid w:val="00A4058D"/>
    <w:rsid w:val="00A5133D"/>
    <w:rsid w:val="00A546C3"/>
    <w:rsid w:val="00A74A55"/>
    <w:rsid w:val="00A86122"/>
    <w:rsid w:val="00A86DCB"/>
    <w:rsid w:val="00A905AB"/>
    <w:rsid w:val="00A96A81"/>
    <w:rsid w:val="00A97DC9"/>
    <w:rsid w:val="00AA270B"/>
    <w:rsid w:val="00AA4F48"/>
    <w:rsid w:val="00AB3C69"/>
    <w:rsid w:val="00AB4B8F"/>
    <w:rsid w:val="00AC35BE"/>
    <w:rsid w:val="00AD21A2"/>
    <w:rsid w:val="00AF1D70"/>
    <w:rsid w:val="00B03BEC"/>
    <w:rsid w:val="00B04EBD"/>
    <w:rsid w:val="00B05BDC"/>
    <w:rsid w:val="00B05D7A"/>
    <w:rsid w:val="00B15955"/>
    <w:rsid w:val="00B16BF4"/>
    <w:rsid w:val="00B21655"/>
    <w:rsid w:val="00B3068F"/>
    <w:rsid w:val="00B3527C"/>
    <w:rsid w:val="00B412A9"/>
    <w:rsid w:val="00B52BD6"/>
    <w:rsid w:val="00B72F74"/>
    <w:rsid w:val="00B75119"/>
    <w:rsid w:val="00B8559F"/>
    <w:rsid w:val="00B86C82"/>
    <w:rsid w:val="00BB0A2B"/>
    <w:rsid w:val="00BB2078"/>
    <w:rsid w:val="00BB4EB3"/>
    <w:rsid w:val="00BC5B81"/>
    <w:rsid w:val="00BD227D"/>
    <w:rsid w:val="00BD64D4"/>
    <w:rsid w:val="00BD6E0D"/>
    <w:rsid w:val="00BE1184"/>
    <w:rsid w:val="00BF45AE"/>
    <w:rsid w:val="00C13F41"/>
    <w:rsid w:val="00C2436C"/>
    <w:rsid w:val="00C251F9"/>
    <w:rsid w:val="00C26A8C"/>
    <w:rsid w:val="00C30172"/>
    <w:rsid w:val="00C310E9"/>
    <w:rsid w:val="00C33102"/>
    <w:rsid w:val="00C34DBE"/>
    <w:rsid w:val="00C35D41"/>
    <w:rsid w:val="00C4142B"/>
    <w:rsid w:val="00C43E1F"/>
    <w:rsid w:val="00C5267D"/>
    <w:rsid w:val="00C543F5"/>
    <w:rsid w:val="00C56671"/>
    <w:rsid w:val="00C56D88"/>
    <w:rsid w:val="00C63004"/>
    <w:rsid w:val="00C67E8C"/>
    <w:rsid w:val="00C83BE8"/>
    <w:rsid w:val="00C852E2"/>
    <w:rsid w:val="00C95CAB"/>
    <w:rsid w:val="00C975CF"/>
    <w:rsid w:val="00CA4BAF"/>
    <w:rsid w:val="00CB6EFC"/>
    <w:rsid w:val="00CC2520"/>
    <w:rsid w:val="00CE2F00"/>
    <w:rsid w:val="00CE518B"/>
    <w:rsid w:val="00CF01D1"/>
    <w:rsid w:val="00D16057"/>
    <w:rsid w:val="00D24BB2"/>
    <w:rsid w:val="00D312B1"/>
    <w:rsid w:val="00D36735"/>
    <w:rsid w:val="00D4269C"/>
    <w:rsid w:val="00D55835"/>
    <w:rsid w:val="00D618E7"/>
    <w:rsid w:val="00D62983"/>
    <w:rsid w:val="00D62E82"/>
    <w:rsid w:val="00D6402F"/>
    <w:rsid w:val="00D7363D"/>
    <w:rsid w:val="00D841DF"/>
    <w:rsid w:val="00D87C2D"/>
    <w:rsid w:val="00D92C73"/>
    <w:rsid w:val="00DA0199"/>
    <w:rsid w:val="00DB6B1B"/>
    <w:rsid w:val="00DB7D97"/>
    <w:rsid w:val="00DC54C0"/>
    <w:rsid w:val="00DC7A0C"/>
    <w:rsid w:val="00DE4DB9"/>
    <w:rsid w:val="00DE5766"/>
    <w:rsid w:val="00DF41FE"/>
    <w:rsid w:val="00DF77E6"/>
    <w:rsid w:val="00E0084B"/>
    <w:rsid w:val="00E022D8"/>
    <w:rsid w:val="00E0258F"/>
    <w:rsid w:val="00E135DD"/>
    <w:rsid w:val="00E14756"/>
    <w:rsid w:val="00E20A01"/>
    <w:rsid w:val="00E22B46"/>
    <w:rsid w:val="00E264A5"/>
    <w:rsid w:val="00E322B1"/>
    <w:rsid w:val="00E54E8B"/>
    <w:rsid w:val="00E55E0C"/>
    <w:rsid w:val="00E729A3"/>
    <w:rsid w:val="00E810BD"/>
    <w:rsid w:val="00E840B9"/>
    <w:rsid w:val="00E85994"/>
    <w:rsid w:val="00E860A2"/>
    <w:rsid w:val="00E8796D"/>
    <w:rsid w:val="00E93C7C"/>
    <w:rsid w:val="00E94CE4"/>
    <w:rsid w:val="00EA09DF"/>
    <w:rsid w:val="00EA1435"/>
    <w:rsid w:val="00EA3428"/>
    <w:rsid w:val="00EC277D"/>
    <w:rsid w:val="00EC3F36"/>
    <w:rsid w:val="00EC5E47"/>
    <w:rsid w:val="00EC7AE3"/>
    <w:rsid w:val="00ED0A68"/>
    <w:rsid w:val="00ED3949"/>
    <w:rsid w:val="00EF682E"/>
    <w:rsid w:val="00F02F07"/>
    <w:rsid w:val="00F0532E"/>
    <w:rsid w:val="00F16382"/>
    <w:rsid w:val="00F2505B"/>
    <w:rsid w:val="00F348C8"/>
    <w:rsid w:val="00F37DD0"/>
    <w:rsid w:val="00F41555"/>
    <w:rsid w:val="00F42595"/>
    <w:rsid w:val="00F42A54"/>
    <w:rsid w:val="00F42C69"/>
    <w:rsid w:val="00F621C7"/>
    <w:rsid w:val="00F63806"/>
    <w:rsid w:val="00F75B44"/>
    <w:rsid w:val="00F76282"/>
    <w:rsid w:val="00F804A4"/>
    <w:rsid w:val="00F9108C"/>
    <w:rsid w:val="00F9157D"/>
    <w:rsid w:val="00F94AD4"/>
    <w:rsid w:val="00FA52E5"/>
    <w:rsid w:val="00FA5EF5"/>
    <w:rsid w:val="00FA77EA"/>
    <w:rsid w:val="00FB3B2E"/>
    <w:rsid w:val="00FB3E46"/>
    <w:rsid w:val="00FC0BDF"/>
    <w:rsid w:val="00FE3505"/>
    <w:rsid w:val="00FE3875"/>
    <w:rsid w:val="00FF6601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29021EA-E308-494E-9AC5-520511D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CharChar">
    <w:name w:val="Char Char"/>
    <w:basedOn w:val="a"/>
    <w:rPr>
      <w:rFonts w:eastAsia="仿宋_GB2312"/>
      <w:sz w:val="32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customStyle="1" w:styleId="1CharCharChar1CharCharChar">
    <w:name w:val="1 Char Char Char1 Char Char Char"/>
    <w:basedOn w:val="a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F4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17702448210924"/>
          <c:y val="0.28163265306122448"/>
          <c:w val="0.7551789077212806"/>
          <c:h val="0.567346938775510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390618647370592E-3"/>
                  <c:y val="1.50996503588312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790114971961591E-3"/>
                  <c:y val="-4.5528762686181112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023943617999969E-3"/>
                  <c:y val="1.324632740235198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7754947405282984E-3"/>
                  <c:y val="-1.4037741080691335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323992623826786E-3"/>
                  <c:y val="2.288932370848595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88.84</c:v>
                </c:pt>
                <c:pt idx="1">
                  <c:v>91.12</c:v>
                </c:pt>
                <c:pt idx="2">
                  <c:v>108.9</c:v>
                </c:pt>
                <c:pt idx="3">
                  <c:v>122.5</c:v>
                </c:pt>
                <c:pt idx="4">
                  <c:v>125.2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55072112"/>
        <c:axId val="555065448"/>
      </c:barChart>
      <c:lineChart>
        <c:grouping val="standard"/>
        <c:varyColors val="0"/>
        <c:ser>
          <c:idx val="0"/>
          <c:order val="1"/>
          <c:tx>
            <c:strRef>
              <c:f>Sheet1!$A$4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8484385385283447E-2"/>
                  <c:y val="8.8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025878003696851E-2"/>
                      <c:h val="7.581699346405228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4504004929143607E-2"/>
                  <c:y val="6.274509803921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968576709796676E-2"/>
                  <c:y val="5.751633986928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968576709796766E-2"/>
                  <c:y val="7.84313725490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504004929143649E-2"/>
                  <c:y val="6.274509803921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</c:v>
                </c:pt>
                <c:pt idx="1">
                  <c:v>4.3</c:v>
                </c:pt>
                <c:pt idx="2">
                  <c:v>4.5999999999999996</c:v>
                </c:pt>
                <c:pt idx="3">
                  <c:v>7.2</c:v>
                </c:pt>
                <c:pt idx="4">
                  <c:v>4.0999999999999996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5063096"/>
        <c:axId val="555072504"/>
      </c:lineChart>
      <c:catAx>
        <c:axId val="5550721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5550654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55065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5.6357964496582105E-2"/>
              <c:y val="0.1257979291050157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72112"/>
        <c:crosses val="autoZero"/>
        <c:crossBetween val="between"/>
      </c:valAx>
      <c:catAx>
        <c:axId val="555063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5072504"/>
        <c:crosses val="autoZero"/>
        <c:auto val="0"/>
        <c:lblAlgn val="ctr"/>
        <c:lblOffset val="100"/>
        <c:noMultiLvlLbl val="0"/>
      </c:catAx>
      <c:valAx>
        <c:axId val="555072504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89511985678315187"/>
              <c:y val="0.14861354765887425"/>
            </c:manualLayout>
          </c:layout>
          <c:overlay val="0"/>
          <c:spPr>
            <a:noFill/>
            <a:ln w="25400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63096"/>
        <c:crosses val="max"/>
        <c:crossBetween val="between"/>
        <c:majorUnit val="5"/>
        <c:minorUnit val="0.5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9190207156308851"/>
          <c:y val="0.1306122448979592"/>
          <c:w val="0.41054613935969869"/>
          <c:h val="7.755102040816326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194029850746269"/>
          <c:y val="0.19672131147540983"/>
          <c:w val="0.77052238805970152"/>
          <c:h val="0.655737704918032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公共财政预算收入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696647910729375E-3"/>
                  <c:y val="3.08971980549349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501287303873933E-3"/>
                  <c:y val="1.8663398797688358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41902327551899E-4"/>
                  <c:y val="5.821993001771108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112488691980243E-3"/>
                  <c:y val="7.461208486839454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098201335689883E-4"/>
                  <c:y val="1.948329459454539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5.9</c:v>
                </c:pt>
                <c:pt idx="1">
                  <c:v>6.1</c:v>
                </c:pt>
                <c:pt idx="2">
                  <c:v>8.1999999999999993</c:v>
                </c:pt>
                <c:pt idx="3">
                  <c:v>11.4</c:v>
                </c:pt>
                <c:pt idx="4">
                  <c:v>12.7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55067016"/>
        <c:axId val="55506740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69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678661296371085E-2"/>
                  <c:y val="-6.6850515361377899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131482893169666E-2"/>
                  <c:y val="5.8618729366626494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130635456200546E-3"/>
                  <c:y val="-6.404016249923794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616225046224772E-3"/>
                  <c:y val="-4.6827183300115038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214567169459088E-2"/>
                  <c:y val="6.7464335401235725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-18.5</c:v>
                </c:pt>
                <c:pt idx="1">
                  <c:v>3.9</c:v>
                </c:pt>
                <c:pt idx="2">
                  <c:v>34.6</c:v>
                </c:pt>
                <c:pt idx="3">
                  <c:v>38.799999999999997</c:v>
                </c:pt>
                <c:pt idx="4">
                  <c:v>11.6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5067800"/>
        <c:axId val="555068584"/>
      </c:lineChart>
      <c:catAx>
        <c:axId val="5550670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555067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55067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4.8507462686567165E-2"/>
              <c:y val="5.3278688524590161E-2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67016"/>
        <c:crosses val="autoZero"/>
        <c:crossBetween val="between"/>
      </c:valAx>
      <c:catAx>
        <c:axId val="555067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5068584"/>
        <c:crosses val="autoZero"/>
        <c:auto val="0"/>
        <c:lblAlgn val="ctr"/>
        <c:lblOffset val="100"/>
        <c:noMultiLvlLbl val="0"/>
      </c:catAx>
      <c:valAx>
        <c:axId val="555068584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90298507462686572"/>
              <c:y val="9.0163934426229511E-2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67800"/>
        <c:crosses val="max"/>
        <c:crossBetween val="between"/>
      </c:valAx>
      <c:spPr>
        <a:noFill/>
        <a:ln w="25395">
          <a:noFill/>
        </a:ln>
      </c:spPr>
    </c:plotArea>
    <c:legend>
      <c:legendPos val="t"/>
      <c:layout>
        <c:manualLayout>
          <c:xMode val="edge"/>
          <c:yMode val="edge"/>
          <c:x val="0.26492537313432835"/>
          <c:y val="1.2295081967213115E-2"/>
          <c:w val="0.45522388059701491"/>
          <c:h val="7.7868852459016397E-2"/>
        </c:manualLayout>
      </c:layout>
      <c:overlay val="0"/>
      <c:spPr>
        <a:solidFill>
          <a:srgbClr val="FFFFFF"/>
        </a:solidFill>
        <a:ln w="25395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89156626506024"/>
          <c:y val="0.25943396226415094"/>
          <c:w val="0.61962134251290879"/>
          <c:h val="0.5613207547169811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播种面积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968716748243894E-3"/>
                  <c:y val="0.1349752792528840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460239767326376E-3"/>
                  <c:y val="0.127028627235548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25140100730656E-3"/>
                  <c:y val="0.12366416407251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1147376115594536E-3"/>
                  <c:y val="2.04823185984974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0897354046960345E-4"/>
                  <c:y val="0.1345138253067203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63.74</c:v>
                </c:pt>
                <c:pt idx="1">
                  <c:v>68.569999999999993</c:v>
                </c:pt>
                <c:pt idx="2">
                  <c:v>68.099999999999994</c:v>
                </c:pt>
                <c:pt idx="3">
                  <c:v>68.52</c:v>
                </c:pt>
                <c:pt idx="4">
                  <c:v>74.69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55069368"/>
        <c:axId val="55507720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产量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617223522735334E-2"/>
                  <c:y val="-8.37691509491546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165815421721015E-2"/>
                  <c:y val="-4.46188121833608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604738596864663E-2"/>
                  <c:y val="-5.64615760239272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705965808328016E-2"/>
                  <c:y val="-8.33430995544161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165815421720932E-2"/>
                  <c:y val="-9.099920649453704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77624784853700513"/>
                  <c:y val="0.3066037735849056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30.07</c:v>
                </c:pt>
                <c:pt idx="1">
                  <c:v>33.409999999999997</c:v>
                </c:pt>
                <c:pt idx="2">
                  <c:v>33.11</c:v>
                </c:pt>
                <c:pt idx="3">
                  <c:v>33.43</c:v>
                </c:pt>
                <c:pt idx="4">
                  <c:v>34.270000000000003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5077600"/>
        <c:axId val="555077992"/>
      </c:lineChart>
      <c:catAx>
        <c:axId val="5550693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555077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55077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万亩</a:t>
                </a:r>
              </a:p>
            </c:rich>
          </c:tx>
          <c:layout>
            <c:manualLayout>
              <c:xMode val="edge"/>
              <c:yMode val="edge"/>
              <c:x val="0.15834769809179258"/>
              <c:y val="6.277615298087738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69368"/>
        <c:crosses val="autoZero"/>
        <c:crossBetween val="between"/>
      </c:valAx>
      <c:catAx>
        <c:axId val="555077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5077992"/>
        <c:crosses val="autoZero"/>
        <c:auto val="0"/>
        <c:lblAlgn val="ctr"/>
        <c:lblOffset val="100"/>
        <c:noMultiLvlLbl val="0"/>
      </c:catAx>
      <c:valAx>
        <c:axId val="55507799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万吨</a:t>
                </a:r>
              </a:p>
            </c:rich>
          </c:tx>
          <c:layout>
            <c:manualLayout>
              <c:xMode val="edge"/>
              <c:yMode val="edge"/>
              <c:x val="0.84840905866496419"/>
              <c:y val="6.168908886389200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77600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9242685025817559"/>
          <c:y val="7.0754716981132074E-2"/>
          <c:w val="0.26333907056798622"/>
          <c:h val="8.962264150943395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01869158878504"/>
          <c:y val="0.19047619047619047"/>
          <c:w val="0.76822429906542056"/>
          <c:h val="0.6493506493506493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551682378572902E-2"/>
                  <c:y val="-6.0560778232577384E-2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361389772449273E-2"/>
                  <c:y val="-6.140620202640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718581482673121E-2"/>
                  <c:y val="6.1898418669419412E-2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525543831121919E-2"/>
                  <c:y val="6.8525488778928792E-2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321709511048181E-2"/>
                  <c:y val="-5.3184540142491396E-2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3.1</c:v>
                </c:pt>
                <c:pt idx="2">
                  <c:v>2.8</c:v>
                </c:pt>
                <c:pt idx="3">
                  <c:v>8.9</c:v>
                </c:pt>
                <c:pt idx="4">
                  <c:v>1.1000000000000001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5075248"/>
        <c:axId val="555076032"/>
      </c:lineChart>
      <c:catAx>
        <c:axId val="5550752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555076032"/>
        <c:crosses val="autoZero"/>
        <c:auto val="0"/>
        <c:lblAlgn val="ctr"/>
        <c:lblOffset val="100"/>
        <c:noMultiLvlLbl val="0"/>
      </c:catAx>
      <c:valAx>
        <c:axId val="5550760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5.4205607476635512E-2"/>
              <c:y val="6.9264069264069264E-2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75248"/>
        <c:crosses val="autoZero"/>
        <c:crossBetween val="between"/>
      </c:valAx>
      <c:spPr>
        <a:noFill/>
        <a:ln w="25397">
          <a:noFill/>
        </a:ln>
      </c:spPr>
    </c:plotArea>
    <c:legend>
      <c:legendPos val="t"/>
      <c:layout>
        <c:manualLayout>
          <c:xMode val="edge"/>
          <c:yMode val="edge"/>
          <c:x val="0.30467296921870574"/>
          <c:y val="2.5268410377164631E-2"/>
          <c:w val="0.20552972840714462"/>
          <c:h val="9.2772199913451106E-2"/>
        </c:manualLayout>
      </c:layout>
      <c:overlay val="0"/>
      <c:spPr>
        <a:solidFill>
          <a:srgbClr val="FFFFFF"/>
        </a:solidFill>
        <a:ln w="25397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94029850746269"/>
          <c:y val="0.19262295081967212"/>
          <c:w val="0.77798507462686572"/>
          <c:h val="0.655737704918032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233107650966562E-3"/>
                  <c:y val="3.3628359700414445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427944564043107E-3"/>
                  <c:y val="1.8936850460800514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650709621571229E-3"/>
                  <c:y val="3.9094376864453051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502262952557443E-3"/>
                  <c:y val="6.6416058276168033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381744427995789E-3"/>
                  <c:y val="1.9483397955214199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24.6</c:v>
                </c:pt>
                <c:pt idx="1">
                  <c:v>26.5</c:v>
                </c:pt>
                <c:pt idx="2">
                  <c:v>28.16</c:v>
                </c:pt>
                <c:pt idx="3">
                  <c:v>30.36</c:v>
                </c:pt>
                <c:pt idx="4">
                  <c:v>32.97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55078384"/>
        <c:axId val="54557161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69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467279720299868E-2"/>
                  <c:y val="4.0409473625458145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946364215765913E-2"/>
                  <c:y val="5.3615246112088441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625564644121596E-2"/>
                  <c:y val="-3.1504331845628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301221717325714E-2"/>
                  <c:y val="3.5102936890042853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029859928844421E-2"/>
                  <c:y val="3.7138315179754536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5.6</c:v>
                </c:pt>
                <c:pt idx="1">
                  <c:v>7.6</c:v>
                </c:pt>
                <c:pt idx="2">
                  <c:v>6.3</c:v>
                </c:pt>
                <c:pt idx="3">
                  <c:v>7.8</c:v>
                </c:pt>
                <c:pt idx="4">
                  <c:v>8.6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5568480"/>
        <c:axId val="545574360"/>
      </c:lineChart>
      <c:catAx>
        <c:axId val="5550783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5455716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55716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4.8507462686567165E-2"/>
              <c:y val="4.9180327868852458E-2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55078384"/>
        <c:crosses val="autoZero"/>
        <c:crossBetween val="between"/>
      </c:valAx>
      <c:catAx>
        <c:axId val="545568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5574360"/>
        <c:crosses val="autoZero"/>
        <c:auto val="0"/>
        <c:lblAlgn val="ctr"/>
        <c:lblOffset val="100"/>
        <c:noMultiLvlLbl val="0"/>
      </c:catAx>
      <c:valAx>
        <c:axId val="545574360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90298507462686572"/>
              <c:y val="8.6065573770491802E-2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45568480"/>
        <c:crosses val="max"/>
        <c:crossBetween val="between"/>
      </c:valAx>
      <c:spPr>
        <a:noFill/>
        <a:ln w="25395">
          <a:noFill/>
        </a:ln>
      </c:spPr>
    </c:plotArea>
    <c:legend>
      <c:legendPos val="t"/>
      <c:layout>
        <c:manualLayout>
          <c:xMode val="edge"/>
          <c:yMode val="edge"/>
          <c:x val="0.2574626865671642"/>
          <c:y val="1.2295081967213115E-2"/>
          <c:w val="0.47947761194029853"/>
          <c:h val="7.7868852459016397E-2"/>
        </c:manualLayout>
      </c:layout>
      <c:overlay val="0"/>
      <c:spPr>
        <a:solidFill>
          <a:srgbClr val="FFFFFF"/>
        </a:solidFill>
        <a:ln w="25395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47377938517178"/>
          <c:y val="0.188"/>
          <c:w val="0.74683544303797467"/>
          <c:h val="0.6640000000000000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城镇居民人均可支配收入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344389556937803E-3"/>
                  <c:y val="1.473450434080353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660162090418243E-3"/>
                  <c:y val="7.715727841712039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728247732948686E-3"/>
                  <c:y val="1.801292146174032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877654986140357E-3"/>
                  <c:y val="1.364142943670504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3193427519621075E-3"/>
                  <c:y val="8.5459317585301897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29091</c:v>
                </c:pt>
                <c:pt idx="1">
                  <c:v>30720</c:v>
                </c:pt>
                <c:pt idx="2">
                  <c:v>32563</c:v>
                </c:pt>
                <c:pt idx="3">
                  <c:v>34582</c:v>
                </c:pt>
                <c:pt idx="4">
                  <c:v>36865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5569656"/>
        <c:axId val="54557475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4181044670290712E-2"/>
                  <c:y val="-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563949625653965E-2"/>
                  <c:y val="4.195881284070265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908059560387616E-2"/>
                  <c:y val="6.153846153846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977766280751187E-2"/>
                  <c:y val="4.289238845144356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475336706759617E-2"/>
                  <c:y val="3.288552392489405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6.9</c:v>
                </c:pt>
                <c:pt idx="1">
                  <c:v>5.6</c:v>
                </c:pt>
                <c:pt idx="2">
                  <c:v>6</c:v>
                </c:pt>
                <c:pt idx="3">
                  <c:v>6.2</c:v>
                </c:pt>
                <c:pt idx="4">
                  <c:v>6.6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5572400"/>
        <c:axId val="545572792"/>
      </c:lineChart>
      <c:catAx>
        <c:axId val="5455696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5455747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55747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8.6799276672694395E-2"/>
              <c:y val="6.4000000000000001E-2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45569656"/>
        <c:crosses val="autoZero"/>
        <c:crossBetween val="between"/>
      </c:valAx>
      <c:catAx>
        <c:axId val="545572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5572792"/>
        <c:crosses val="autoZero"/>
        <c:auto val="0"/>
        <c:lblAlgn val="ctr"/>
        <c:lblOffset val="100"/>
        <c:noMultiLvlLbl val="0"/>
      </c:catAx>
      <c:valAx>
        <c:axId val="54557279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9059674502712477"/>
              <c:y val="7.5999999999999998E-2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45572400"/>
        <c:crosses val="max"/>
        <c:crossBetween val="between"/>
      </c:valAx>
      <c:spPr>
        <a:noFill/>
        <a:ln w="25401">
          <a:noFill/>
        </a:ln>
      </c:spPr>
    </c:plotArea>
    <c:legend>
      <c:legendPos val="t"/>
      <c:layout>
        <c:manualLayout>
          <c:xMode val="edge"/>
          <c:yMode val="edge"/>
          <c:x val="0.2603978300180832"/>
          <c:y val="1.2E-2"/>
          <c:w val="0.51175406871609408"/>
          <c:h val="7.5999999999999998E-2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36283185840709"/>
          <c:y val="0.16058394160583941"/>
          <c:w val="0.75221238938053092"/>
          <c:h val="0.7043795620437955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农村居民人均可支配收入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085161969220751E-3"/>
                  <c:y val="-8.197287254380569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86285559053161E-3"/>
                  <c:y val="1.11534659997458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053241757631687E-3"/>
                  <c:y val="1.87811182284233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052595435958839E-3"/>
                  <c:y val="9.678347495552464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11217</c:v>
                </c:pt>
                <c:pt idx="1">
                  <c:v>11834</c:v>
                </c:pt>
                <c:pt idx="2">
                  <c:v>12568</c:v>
                </c:pt>
                <c:pt idx="3">
                  <c:v>13648</c:v>
                </c:pt>
                <c:pt idx="4">
                  <c:v>15040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5575144"/>
        <c:axId val="54557553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920780554604588E-2"/>
                  <c:y val="4.859117962367379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144927536231884E-2"/>
                  <c:y val="5.1643192488262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782608695652174E-2"/>
                  <c:y val="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888371562250367E-2"/>
                  <c:y val="-3.53439798898377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509939518429758E-2"/>
                  <c:y val="-2.759343462348896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7.5</c:v>
                </c:pt>
                <c:pt idx="1">
                  <c:v>5.5</c:v>
                </c:pt>
                <c:pt idx="2">
                  <c:v>6.2</c:v>
                </c:pt>
                <c:pt idx="3">
                  <c:v>8.6</c:v>
                </c:pt>
                <c:pt idx="4">
                  <c:v>10.199999999999999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5568088"/>
        <c:axId val="545569264"/>
      </c:lineChart>
      <c:catAx>
        <c:axId val="5455751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5455755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55755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7.6106194690265486E-2"/>
              <c:y val="5.4744525547445258E-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45575144"/>
        <c:crosses val="autoZero"/>
        <c:crossBetween val="between"/>
      </c:valAx>
      <c:catAx>
        <c:axId val="545568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5569264"/>
        <c:crosses val="autoZero"/>
        <c:auto val="0"/>
        <c:lblAlgn val="ctr"/>
        <c:lblOffset val="100"/>
        <c:noMultiLvlLbl val="0"/>
      </c:catAx>
      <c:valAx>
        <c:axId val="545569264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90796460176991145"/>
              <c:y val="5.4744525547445258E-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545568088"/>
        <c:crosses val="max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26725663716814158"/>
          <c:y val="1.0948905109489052E-2"/>
          <c:w val="0.50088495575221237"/>
          <c:h val="6.9343065693430656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0.248</cdr:x>
      <cdr:y>0.11475</cdr:y>
    </cdr:from>
    <cdr:to>
      <cdr:x>0.25925</cdr:x>
      <cdr:y>0.1885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6139" y="266690"/>
          <a:ext cx="57436" cy="1714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0.2485</cdr:x>
      <cdr:y>0.11475</cdr:y>
    </cdr:from>
    <cdr:to>
      <cdr:x>0.25975</cdr:x>
      <cdr:y>0.1885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8692" y="266690"/>
          <a:ext cx="57436" cy="1714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76CD-D1DA-411C-9D8D-A512144D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697</Words>
  <Characters>3978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Manager/>
  <Company>tjj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寿阳县2009年国民经济和社会发展统计公报</dc:title>
  <dc:subject/>
  <dc:creator>wangyinhua</dc:creator>
  <cp:keywords/>
  <dc:description/>
  <cp:lastModifiedBy>jjp</cp:lastModifiedBy>
  <cp:revision>53</cp:revision>
  <cp:lastPrinted>2019-01-28T06:49:00Z</cp:lastPrinted>
  <dcterms:created xsi:type="dcterms:W3CDTF">2020-03-05T06:41:00Z</dcterms:created>
  <dcterms:modified xsi:type="dcterms:W3CDTF">2020-04-22T01:17:00Z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